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4A75" w14:textId="77777777" w:rsidR="008427FA" w:rsidRPr="00E370F0" w:rsidRDefault="00000000" w:rsidP="0037156F">
      <w:pPr>
        <w:spacing w:line="240" w:lineRule="auto"/>
        <w:ind w:left="72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758E2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8" o:title="grb-rh"/>
            <w10:wrap type="tight"/>
          </v:shape>
        </w:pict>
      </w:r>
    </w:p>
    <w:p w14:paraId="6BB352E0" w14:textId="77777777" w:rsidR="008427FA" w:rsidRPr="00E370F0" w:rsidRDefault="008427FA" w:rsidP="0037156F">
      <w:pPr>
        <w:spacing w:line="240" w:lineRule="auto"/>
        <w:rPr>
          <w:rFonts w:ascii="Cambria" w:hAnsi="Cambria" w:cs="Arial"/>
          <w:b/>
          <w:sz w:val="24"/>
          <w:szCs w:val="24"/>
        </w:rPr>
      </w:pPr>
    </w:p>
    <w:p w14:paraId="597F5C8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REPUBLIKA HRVATSKA</w:t>
      </w:r>
    </w:p>
    <w:p w14:paraId="060E6CC3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ZADARSKA ŽUPANIJA</w:t>
      </w:r>
    </w:p>
    <w:p w14:paraId="726F18A7" w14:textId="77777777" w:rsidR="008427FA" w:rsidRPr="00E370F0" w:rsidRDefault="00000000" w:rsidP="0037156F">
      <w:pPr>
        <w:spacing w:line="240" w:lineRule="auto"/>
        <w:ind w:left="1416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68B6587A">
          <v:shape id="Picture 3" o:spid="_x0000_s2051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9" o:title="" cropbottom="28199f" cropright="29434f"/>
            <w10:wrap type="tight"/>
          </v:shape>
        </w:pict>
      </w:r>
      <w:r w:rsidR="008427FA" w:rsidRPr="00E370F0">
        <w:rPr>
          <w:rFonts w:ascii="Cambria" w:hAnsi="Cambria"/>
          <w:b/>
          <w:sz w:val="24"/>
          <w:szCs w:val="24"/>
        </w:rPr>
        <w:t>OPĆINA</w:t>
      </w:r>
    </w:p>
    <w:p w14:paraId="2B11B821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LIŠANE OSTROVIČKE</w:t>
      </w:r>
    </w:p>
    <w:p w14:paraId="61D18E65" w14:textId="77777777" w:rsidR="008427FA" w:rsidRPr="00E370F0" w:rsidRDefault="008427FA" w:rsidP="0037156F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3F50B2A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RKP:34725</w:t>
      </w:r>
    </w:p>
    <w:p w14:paraId="15E3659A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MB: 02544342</w:t>
      </w:r>
    </w:p>
    <w:p w14:paraId="4FBD74C0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OIB:85070536153</w:t>
      </w:r>
    </w:p>
    <w:p w14:paraId="3234BF3F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IBAN7224070001823400004</w:t>
      </w:r>
    </w:p>
    <w:p w14:paraId="2C999108" w14:textId="77777777" w:rsidR="008427FA" w:rsidRPr="00E370F0" w:rsidRDefault="008427FA" w:rsidP="00D1157F">
      <w:pPr>
        <w:rPr>
          <w:rFonts w:ascii="Cambria" w:hAnsi="Cambria"/>
          <w:b/>
          <w:sz w:val="24"/>
          <w:szCs w:val="24"/>
        </w:rPr>
      </w:pPr>
    </w:p>
    <w:p w14:paraId="1A5D9BC7" w14:textId="77777777" w:rsidR="008427FA" w:rsidRPr="00E370F0" w:rsidRDefault="008427FA" w:rsidP="00A1202D">
      <w:pPr>
        <w:rPr>
          <w:rFonts w:ascii="Cambria" w:hAnsi="Cambria"/>
          <w:b/>
          <w:sz w:val="24"/>
          <w:szCs w:val="24"/>
        </w:rPr>
      </w:pPr>
    </w:p>
    <w:p w14:paraId="142DD9CB" w14:textId="77777777" w:rsidR="005C1726" w:rsidRPr="00E370F0" w:rsidRDefault="005C1726" w:rsidP="005C1726">
      <w:pPr>
        <w:jc w:val="center"/>
        <w:rPr>
          <w:rFonts w:ascii="Cambria" w:hAnsi="Cambria"/>
          <w:b/>
          <w:sz w:val="24"/>
          <w:szCs w:val="24"/>
        </w:rPr>
      </w:pPr>
    </w:p>
    <w:p w14:paraId="3E08F293" w14:textId="20DCAB58" w:rsidR="008427FA" w:rsidRPr="00E370F0" w:rsidRDefault="008427FA" w:rsidP="005C1726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BILJEŠKE UZ GODIŠNJI IZVJEŠTAJ  O IZVRŠENJU PRORAČUNA</w:t>
      </w:r>
    </w:p>
    <w:p w14:paraId="784EC339" w14:textId="6F5D2EBA" w:rsidR="008427FA" w:rsidRPr="00E370F0" w:rsidRDefault="008427FA" w:rsidP="00EA6742">
      <w:pPr>
        <w:jc w:val="center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ZA </w:t>
      </w:r>
      <w:r w:rsidR="004C1345">
        <w:rPr>
          <w:rFonts w:ascii="Cambria" w:hAnsi="Cambria"/>
          <w:b/>
          <w:sz w:val="24"/>
          <w:szCs w:val="24"/>
        </w:rPr>
        <w:t xml:space="preserve"> 01.01. – 3</w:t>
      </w:r>
      <w:r w:rsidR="00EA6742">
        <w:rPr>
          <w:rFonts w:ascii="Cambria" w:hAnsi="Cambria"/>
          <w:b/>
          <w:sz w:val="24"/>
          <w:szCs w:val="24"/>
        </w:rPr>
        <w:t>1.12</w:t>
      </w:r>
      <w:r w:rsidR="004C1345">
        <w:rPr>
          <w:rFonts w:ascii="Cambria" w:hAnsi="Cambria"/>
          <w:b/>
          <w:sz w:val="24"/>
          <w:szCs w:val="24"/>
        </w:rPr>
        <w:t>.</w:t>
      </w:r>
      <w:r w:rsidR="00F700DE" w:rsidRPr="00E370F0">
        <w:rPr>
          <w:rFonts w:ascii="Cambria" w:hAnsi="Cambria"/>
          <w:b/>
          <w:sz w:val="24"/>
          <w:szCs w:val="24"/>
        </w:rPr>
        <w:t>20</w:t>
      </w:r>
      <w:r w:rsidR="00266961" w:rsidRPr="00E370F0">
        <w:rPr>
          <w:rFonts w:ascii="Cambria" w:hAnsi="Cambria"/>
          <w:b/>
          <w:sz w:val="24"/>
          <w:szCs w:val="24"/>
        </w:rPr>
        <w:t>2</w:t>
      </w:r>
      <w:r w:rsidR="00484D99">
        <w:rPr>
          <w:rFonts w:ascii="Cambria" w:hAnsi="Cambria"/>
          <w:b/>
          <w:sz w:val="24"/>
          <w:szCs w:val="24"/>
        </w:rPr>
        <w:t>2</w:t>
      </w:r>
      <w:r w:rsidRPr="00E370F0">
        <w:rPr>
          <w:rFonts w:ascii="Cambria" w:hAnsi="Cambria"/>
          <w:b/>
          <w:sz w:val="24"/>
          <w:szCs w:val="24"/>
        </w:rPr>
        <w:t>. GODIN</w:t>
      </w:r>
      <w:r w:rsidR="004C1345">
        <w:rPr>
          <w:rFonts w:ascii="Cambria" w:hAnsi="Cambria"/>
          <w:b/>
          <w:sz w:val="24"/>
          <w:szCs w:val="24"/>
        </w:rPr>
        <w:t>E</w:t>
      </w:r>
      <w:r w:rsidRPr="00E370F0">
        <w:rPr>
          <w:rFonts w:ascii="Cambria" w:hAnsi="Cambria"/>
          <w:b/>
          <w:sz w:val="24"/>
          <w:szCs w:val="24"/>
        </w:rPr>
        <w:t>.</w:t>
      </w:r>
    </w:p>
    <w:p w14:paraId="00A4490A" w14:textId="77777777" w:rsidR="008427FA" w:rsidRPr="00E370F0" w:rsidRDefault="008427FA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3992A454" w14:textId="77777777" w:rsidR="005C1726" w:rsidRPr="00E370F0" w:rsidRDefault="005C1726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49B6FDFD" w14:textId="77777777" w:rsidR="008427FA" w:rsidRPr="00E370F0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zaduživanju na domaćem  i stranom tržištu.</w:t>
      </w:r>
    </w:p>
    <w:p w14:paraId="5D158905" w14:textId="16FB2E32" w:rsidR="000F6F19" w:rsidRDefault="000F6F19" w:rsidP="000F6F19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U  2022. godini Općina Lišane Ostrovičke  se kratkoročno zaduživala kod OTP  banke</w:t>
      </w:r>
    </w:p>
    <w:p w14:paraId="7CC3325E" w14:textId="4C670068" w:rsidR="000F6F19" w:rsidRDefault="000F6F19" w:rsidP="000F6F19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uzimanjem minusa na žiro računu. Minus na žiro računu na dan 31.12.2022. godine </w:t>
      </w:r>
    </w:p>
    <w:p w14:paraId="3352F1B0" w14:textId="20652105" w:rsidR="000F6F19" w:rsidRDefault="000F6F19" w:rsidP="000F6F19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>iznosi 472.959,18 kuna</w:t>
      </w:r>
    </w:p>
    <w:p w14:paraId="67704764" w14:textId="77777777" w:rsidR="000F6F19" w:rsidRDefault="000F6F19" w:rsidP="000F6F19">
      <w:pPr>
        <w:ind w:left="360"/>
        <w:jc w:val="both"/>
        <w:rPr>
          <w:rFonts w:ascii="Cambria" w:hAnsi="Cambria"/>
          <w:bCs/>
          <w:sz w:val="24"/>
          <w:szCs w:val="24"/>
        </w:rPr>
      </w:pPr>
    </w:p>
    <w:p w14:paraId="5B55ED0E" w14:textId="77777777" w:rsidR="000F6F19" w:rsidRDefault="000F6F19" w:rsidP="000F6F19">
      <w:pPr>
        <w:ind w:left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Zbog nove katastarske izmjere Općina Lišane Ostrovičke  se 2019. godine uz   </w:t>
      </w:r>
    </w:p>
    <w:p w14:paraId="188E8DB6" w14:textId="77777777" w:rsidR="000F6F19" w:rsidRDefault="000F6F19" w:rsidP="000F6F19">
      <w:pPr>
        <w:ind w:left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suglasnost Vlade  Republike Hrvatske  dugoročno zadužila kod OTP banke  u iznosu </w:t>
      </w:r>
    </w:p>
    <w:p w14:paraId="3322504E" w14:textId="4DD8C3FA" w:rsidR="000F6F19" w:rsidRDefault="000F6F19" w:rsidP="000F6F19">
      <w:pPr>
        <w:ind w:left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od  799.801,42 kn  na rok otplate od 7 godina.</w:t>
      </w:r>
    </w:p>
    <w:p w14:paraId="2F7D4722" w14:textId="403F6901" w:rsidR="000F6F19" w:rsidRDefault="000F6F19" w:rsidP="000F6F19">
      <w:pPr>
        <w:ind w:left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Stanje dugoročnog kredita na dan 31.12.2022. godine iznosi 421.381,83 kn.</w:t>
      </w:r>
    </w:p>
    <w:p w14:paraId="741EAA4E" w14:textId="77777777" w:rsidR="000F6F19" w:rsidRDefault="000F6F19" w:rsidP="000F6F19">
      <w:pPr>
        <w:ind w:left="360"/>
        <w:jc w:val="both"/>
        <w:rPr>
          <w:rFonts w:ascii="Cambria" w:hAnsi="Cambria"/>
          <w:bCs/>
          <w:sz w:val="24"/>
          <w:szCs w:val="24"/>
        </w:rPr>
      </w:pPr>
    </w:p>
    <w:p w14:paraId="57787310" w14:textId="1BFFE2EF" w:rsidR="000F6F19" w:rsidRDefault="000F6F19" w:rsidP="000F6F19">
      <w:pPr>
        <w:spacing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Saldo  povrata poreza po godišnjoj prijavi na dan 31.12.202</w:t>
      </w:r>
      <w:r w:rsidR="00DE34C8">
        <w:rPr>
          <w:rFonts w:ascii="Cambria" w:hAnsi="Cambria"/>
          <w:bCs/>
          <w:sz w:val="24"/>
          <w:szCs w:val="24"/>
        </w:rPr>
        <w:t>2</w:t>
      </w:r>
      <w:r>
        <w:rPr>
          <w:rFonts w:ascii="Cambria" w:hAnsi="Cambria"/>
          <w:bCs/>
          <w:sz w:val="24"/>
          <w:szCs w:val="24"/>
        </w:rPr>
        <w:t xml:space="preserve">. godine iznosi     </w:t>
      </w:r>
    </w:p>
    <w:p w14:paraId="095E5970" w14:textId="77777777" w:rsidR="00F952FB" w:rsidRDefault="000F6F19" w:rsidP="000F6F19">
      <w:pPr>
        <w:spacing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1</w:t>
      </w:r>
      <w:r w:rsidR="00DE34C8">
        <w:rPr>
          <w:rFonts w:ascii="Cambria" w:hAnsi="Cambria"/>
          <w:bCs/>
          <w:sz w:val="24"/>
          <w:szCs w:val="24"/>
        </w:rPr>
        <w:t xml:space="preserve">11.174,32 </w:t>
      </w:r>
      <w:r>
        <w:rPr>
          <w:rFonts w:ascii="Cambria" w:hAnsi="Cambria"/>
          <w:bCs/>
          <w:sz w:val="24"/>
          <w:szCs w:val="24"/>
        </w:rPr>
        <w:t xml:space="preserve"> kuna i evidentiran je ka</w:t>
      </w:r>
      <w:r w:rsidR="00F952FB">
        <w:rPr>
          <w:rFonts w:ascii="Cambria" w:hAnsi="Cambria"/>
          <w:bCs/>
          <w:sz w:val="24"/>
          <w:szCs w:val="24"/>
        </w:rPr>
        <w:t xml:space="preserve">o primitak - </w:t>
      </w:r>
      <w:r>
        <w:rPr>
          <w:rFonts w:ascii="Cambria" w:hAnsi="Cambria"/>
          <w:bCs/>
          <w:sz w:val="24"/>
          <w:szCs w:val="24"/>
        </w:rPr>
        <w:t xml:space="preserve"> kratkoročni zajam prema </w:t>
      </w:r>
    </w:p>
    <w:p w14:paraId="733A5BDF" w14:textId="77777777" w:rsidR="00F952FB" w:rsidRDefault="00F952FB" w:rsidP="00F952FB">
      <w:pPr>
        <w:spacing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</w:t>
      </w:r>
      <w:r w:rsidR="000F6F19">
        <w:rPr>
          <w:rFonts w:ascii="Cambria" w:hAnsi="Cambria"/>
          <w:bCs/>
          <w:sz w:val="24"/>
          <w:szCs w:val="24"/>
        </w:rPr>
        <w:t xml:space="preserve">državnom proračunu  koji je Općina dužna vratiti  u četiri jednaka obroka tijekom </w:t>
      </w:r>
    </w:p>
    <w:p w14:paraId="1ADF0234" w14:textId="624C2C28" w:rsidR="000F6F19" w:rsidRDefault="00F952FB" w:rsidP="00F952FB">
      <w:pPr>
        <w:spacing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</w:t>
      </w:r>
      <w:r w:rsidR="000F6F19">
        <w:rPr>
          <w:rFonts w:ascii="Cambria" w:hAnsi="Cambria"/>
          <w:bCs/>
          <w:sz w:val="24"/>
          <w:szCs w:val="24"/>
        </w:rPr>
        <w:t>202</w:t>
      </w:r>
      <w:r w:rsidR="00DE34C8">
        <w:rPr>
          <w:rFonts w:ascii="Cambria" w:hAnsi="Cambria"/>
          <w:bCs/>
          <w:sz w:val="24"/>
          <w:szCs w:val="24"/>
        </w:rPr>
        <w:t>3</w:t>
      </w:r>
      <w:r w:rsidR="000F6F19">
        <w:rPr>
          <w:rFonts w:ascii="Cambria" w:hAnsi="Cambria"/>
          <w:bCs/>
          <w:sz w:val="24"/>
          <w:szCs w:val="24"/>
        </w:rPr>
        <w:t>.</w:t>
      </w:r>
      <w:r w:rsidR="00DE34C8">
        <w:rPr>
          <w:rFonts w:ascii="Cambria" w:hAnsi="Cambria"/>
          <w:bCs/>
          <w:sz w:val="24"/>
          <w:szCs w:val="24"/>
        </w:rPr>
        <w:t xml:space="preserve"> </w:t>
      </w:r>
      <w:r w:rsidR="000F6F19">
        <w:rPr>
          <w:rFonts w:ascii="Cambria" w:hAnsi="Cambria"/>
          <w:bCs/>
          <w:sz w:val="24"/>
          <w:szCs w:val="24"/>
        </w:rPr>
        <w:t>godine.</w:t>
      </w:r>
    </w:p>
    <w:p w14:paraId="56D5147B" w14:textId="77777777" w:rsidR="00BA7DCB" w:rsidRPr="00E370F0" w:rsidRDefault="00BA7DCB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65972C39" w14:textId="77777777" w:rsidR="009D3692" w:rsidRPr="00E370F0" w:rsidRDefault="009D3692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40C074A2" w14:textId="77777777" w:rsidR="008427FA" w:rsidRPr="00E370F0" w:rsidRDefault="008427FA" w:rsidP="00DF273D">
      <w:pPr>
        <w:jc w:val="both"/>
        <w:rPr>
          <w:rFonts w:ascii="Cambria" w:hAnsi="Cambria"/>
          <w:sz w:val="24"/>
          <w:szCs w:val="24"/>
        </w:rPr>
      </w:pPr>
    </w:p>
    <w:p w14:paraId="324754CE" w14:textId="1A73BF96" w:rsidR="008427FA" w:rsidRPr="00E370F0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korištenju proračunske zalihe</w:t>
      </w:r>
    </w:p>
    <w:p w14:paraId="65899D54" w14:textId="77777777" w:rsidR="00BA469E" w:rsidRPr="00E370F0" w:rsidRDefault="00BA469E" w:rsidP="00BA469E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758D1E07" w14:textId="77777777" w:rsidR="008427FA" w:rsidRPr="00E370F0" w:rsidRDefault="008427FA" w:rsidP="00E1518D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Proračunska zaliha nije korištena</w:t>
      </w:r>
    </w:p>
    <w:p w14:paraId="5F18BC7F" w14:textId="77777777" w:rsidR="001A0278" w:rsidRPr="00E370F0" w:rsidRDefault="001A0278" w:rsidP="00DF273D">
      <w:pPr>
        <w:jc w:val="both"/>
        <w:rPr>
          <w:rFonts w:ascii="Cambria" w:hAnsi="Cambria"/>
          <w:sz w:val="24"/>
          <w:szCs w:val="24"/>
        </w:rPr>
      </w:pPr>
    </w:p>
    <w:p w14:paraId="53044FEB" w14:textId="6B65966D" w:rsidR="008427FA" w:rsidRPr="00E370F0" w:rsidRDefault="008427FA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danim jamstvima i izdacima  po jamstvima</w:t>
      </w:r>
    </w:p>
    <w:p w14:paraId="3348B78E" w14:textId="77777777" w:rsidR="00BA469E" w:rsidRPr="00E370F0" w:rsidRDefault="00BA469E" w:rsidP="00BA469E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1BBE8645" w14:textId="77777777" w:rsidR="00C900FB" w:rsidRDefault="008427FA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     </w:t>
      </w:r>
      <w:r w:rsidR="00E24B83" w:rsidRPr="00E370F0">
        <w:rPr>
          <w:rFonts w:ascii="Cambria" w:hAnsi="Cambria"/>
          <w:sz w:val="24"/>
          <w:szCs w:val="24"/>
        </w:rPr>
        <w:t>Općina Lišane Ostrovičke</w:t>
      </w:r>
      <w:r w:rsidR="00F700DE" w:rsidRPr="00E370F0">
        <w:rPr>
          <w:rFonts w:ascii="Cambria" w:hAnsi="Cambria"/>
          <w:sz w:val="24"/>
          <w:szCs w:val="24"/>
        </w:rPr>
        <w:t xml:space="preserve"> </w:t>
      </w:r>
      <w:r w:rsidR="00C900FB">
        <w:rPr>
          <w:rFonts w:ascii="Cambria" w:hAnsi="Cambria"/>
          <w:sz w:val="24"/>
          <w:szCs w:val="24"/>
        </w:rPr>
        <w:t xml:space="preserve"> za izvještajno razdoblje </w:t>
      </w:r>
      <w:r w:rsidR="00F700DE" w:rsidRPr="00E370F0">
        <w:rPr>
          <w:rFonts w:ascii="Cambria" w:hAnsi="Cambria"/>
          <w:sz w:val="24"/>
          <w:szCs w:val="24"/>
        </w:rPr>
        <w:t xml:space="preserve"> u 20</w:t>
      </w:r>
      <w:r w:rsidR="00266961" w:rsidRPr="00E370F0">
        <w:rPr>
          <w:rFonts w:ascii="Cambria" w:hAnsi="Cambria"/>
          <w:sz w:val="24"/>
          <w:szCs w:val="24"/>
        </w:rPr>
        <w:t>2</w:t>
      </w:r>
      <w:r w:rsidR="00484D99">
        <w:rPr>
          <w:rFonts w:ascii="Cambria" w:hAnsi="Cambria"/>
          <w:sz w:val="24"/>
          <w:szCs w:val="24"/>
        </w:rPr>
        <w:t>2</w:t>
      </w:r>
      <w:r w:rsidRPr="00E370F0">
        <w:rPr>
          <w:rFonts w:ascii="Cambria" w:hAnsi="Cambria"/>
          <w:sz w:val="24"/>
          <w:szCs w:val="24"/>
        </w:rPr>
        <w:t xml:space="preserve">. godini nije imala danih </w:t>
      </w:r>
      <w:r w:rsidR="00C900FB">
        <w:rPr>
          <w:rFonts w:ascii="Cambria" w:hAnsi="Cambria"/>
          <w:sz w:val="24"/>
          <w:szCs w:val="24"/>
        </w:rPr>
        <w:t xml:space="preserve">  </w:t>
      </w:r>
    </w:p>
    <w:p w14:paraId="6C2D98A2" w14:textId="55C7A7FF" w:rsidR="008427FA" w:rsidRPr="00E370F0" w:rsidRDefault="00C900FB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8427FA" w:rsidRPr="00E370F0">
        <w:rPr>
          <w:rFonts w:ascii="Cambria" w:hAnsi="Cambria"/>
          <w:sz w:val="24"/>
          <w:szCs w:val="24"/>
        </w:rPr>
        <w:t xml:space="preserve">jamstava, kao ni izdataka   po jamstvima.  </w:t>
      </w:r>
    </w:p>
    <w:p w14:paraId="34F72D37" w14:textId="77777777" w:rsidR="00954B00" w:rsidRDefault="00954B00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625CC40C" w14:textId="77777777" w:rsidR="00DE34C8" w:rsidRDefault="00DE34C8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11D38E56" w14:textId="77777777" w:rsidR="00DE34C8" w:rsidRPr="00E370F0" w:rsidRDefault="00DE34C8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F0DB342" w14:textId="2DF5C2BD" w:rsidR="00954B00" w:rsidRPr="00E370F0" w:rsidRDefault="00954B00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E370F0">
        <w:rPr>
          <w:rFonts w:ascii="Cambria" w:hAnsi="Cambria"/>
          <w:b/>
          <w:bCs/>
          <w:sz w:val="24"/>
          <w:szCs w:val="24"/>
        </w:rPr>
        <w:lastRenderedPageBreak/>
        <w:t>Obrazloženje ostvarenja prihoda i primitaka, rashoda i izdataka</w:t>
      </w:r>
    </w:p>
    <w:p w14:paraId="20E161F1" w14:textId="77777777" w:rsidR="001A0278" w:rsidRPr="00E370F0" w:rsidRDefault="001A0278" w:rsidP="00954B00">
      <w:pPr>
        <w:pStyle w:val="Odlomakpopisa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78D77814" w14:textId="3EFDBB13" w:rsidR="00DF273D" w:rsidRPr="00E370F0" w:rsidRDefault="003642D2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Ukupno os</w:t>
      </w:r>
      <w:r w:rsidR="00652A8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tvareni prihodi i primici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DE34C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231.083,91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kn , dok rashodi i izdaci iznose </w:t>
      </w:r>
      <w:r w:rsidR="00DE34C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2.859.451,83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. Ostvaren je</w:t>
      </w:r>
      <w:r w:rsidR="00DE34C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višak 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prihoda i primitaka</w:t>
      </w:r>
      <w:r w:rsidR="00D3089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 iznosu od </w:t>
      </w:r>
      <w:r w:rsidR="00DE34C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71.632,058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 što s prenesenim manjkom  iz prethodne godine </w:t>
      </w:r>
      <w:r w:rsidR="00B02B6E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2.038.256,64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čini manjak prihoda za pokriće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sljedećem razdoblju u iznosu od </w:t>
      </w:r>
      <w:r w:rsidR="00DE34C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1.66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6.624,56</w:t>
      </w:r>
      <w:r w:rsidR="00B02B6E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kn.</w:t>
      </w:r>
    </w:p>
    <w:p w14:paraId="7FA800CA" w14:textId="399C8A57" w:rsidR="00BA469E" w:rsidRDefault="00BA469E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573EF91" w14:textId="0BBA5DDA" w:rsidR="00C900FB" w:rsidRDefault="00C900FB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7AF3550" w14:textId="77777777" w:rsidR="00C900FB" w:rsidRPr="00E370F0" w:rsidRDefault="00C900FB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E0A597B" w14:textId="77777777" w:rsidR="001A0278" w:rsidRPr="00E370F0" w:rsidRDefault="00914AC9" w:rsidP="001A0278">
      <w:pPr>
        <w:pStyle w:val="Odlomakpopisa"/>
        <w:jc w:val="both"/>
        <w:rPr>
          <w:rFonts w:ascii="Cambria" w:hAnsi="Cambria"/>
          <w:color w:val="000000"/>
          <w:sz w:val="24"/>
          <w:szCs w:val="24"/>
          <w:u w:val="single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 xml:space="preserve">4.1. 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>PRIHODI</w:t>
      </w:r>
    </w:p>
    <w:p w14:paraId="3E178087" w14:textId="23C1E9BC" w:rsidR="00583BA9" w:rsidRPr="00E370F0" w:rsidRDefault="00583BA9" w:rsidP="00C0537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Porez na dohodak od nesamostalnog rada ostvaren je u iznosu od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391.260,87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02B6E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kn.</w:t>
      </w:r>
    </w:p>
    <w:p w14:paraId="26AA8167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331565" w14:textId="31F65262" w:rsidR="00EB339B" w:rsidRPr="00E370F0" w:rsidRDefault="00EB339B" w:rsidP="002A40B5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</w:t>
      </w:r>
      <w:r w:rsidR="00271AC2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kuće pomoći iz proračuna iznose 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1.391.613,70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kuna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a odnose se na kompenzacijske mjere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0C8C0C0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0973F5F" w14:textId="31298DAA" w:rsidR="00EB339B" w:rsidRPr="00E370F0" w:rsidRDefault="00EB339B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odnose na pomoći 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iznose 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169.697,75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kn i odnose se na kapitalne pomoći 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 državnog proračuna za pristupni put u Ostrovici u iznosu od </w:t>
      </w:r>
      <w:r w:rsidR="0055677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59.697,75 kn i kapitalna pomoć 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od Zadarske županije </w:t>
      </w:r>
      <w:r w:rsidR="00C45B5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110.000,00 kn 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za ceste i katastarsku izmjeru.</w:t>
      </w:r>
    </w:p>
    <w:p w14:paraId="5566ED23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F12B677" w14:textId="2BEEBB17" w:rsidR="003231A8" w:rsidRPr="00E370F0" w:rsidRDefault="003231A8" w:rsidP="00CA448A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08C1C41" w14:textId="73B1AEE6" w:rsidR="003231A8" w:rsidRPr="00E370F0" w:rsidRDefault="003231A8" w:rsidP="00DB7153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nefinancijske imovine iznose </w:t>
      </w:r>
      <w:r w:rsidR="00301D0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159.946,99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odnose se na 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prihode od iznajmljivanja (kafić i sala) </w:t>
      </w:r>
      <w:r w:rsidR="00DB71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56.732,10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DB71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prihode od prava služnosti (</w:t>
      </w:r>
      <w:r w:rsidR="004C134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H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rvatski telekom) u iznosu od 39.743,99 kn</w:t>
      </w:r>
      <w:r w:rsidR="00DB71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prihode od zakupa poljoprivrednog zemljišta u iznosu od 55.747,00 kn.</w:t>
      </w:r>
    </w:p>
    <w:p w14:paraId="578FF61A" w14:textId="77777777" w:rsidR="001A0278" w:rsidRPr="00E370F0" w:rsidRDefault="001A0278" w:rsidP="00B15582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8E12B72" w14:textId="5781CFBC" w:rsidR="00C112C7" w:rsidRPr="00E370F0" w:rsidRDefault="00C112C7" w:rsidP="00824887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po posebnim propisima iznose </w:t>
      </w:r>
      <w:r w:rsidR="00DB71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128.824,97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i odnose se na</w:t>
      </w:r>
      <w:r w:rsidR="001135AA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vodni doprinos </w:t>
      </w:r>
      <w:r w:rsidR="001135AA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</w:t>
      </w:r>
      <w:r w:rsidR="00DB71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242,39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 sufinanciranje roditelja</w:t>
      </w:r>
      <w:r w:rsidR="00966E1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 za dječju igraonica 36.830,00 kn i grada Benkovca (za djecu sa područja Grada) 13.800,00 kn, sufinanciranje katastarske izmjere 27.950,00 kn i </w:t>
      </w:r>
      <w:r w:rsidR="000A780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grobna naknada  </w:t>
      </w:r>
      <w:r w:rsidR="00966E1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50.002,58</w:t>
      </w:r>
      <w:r w:rsidR="00D5245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kn.</w:t>
      </w:r>
    </w:p>
    <w:p w14:paraId="014C92C1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1A69D86" w14:textId="2C9F999F" w:rsidR="00C112C7" w:rsidRPr="00E370F0" w:rsidRDefault="00C112C7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Komunalni doprinosi i naknade iznose </w:t>
      </w:r>
      <w:r w:rsidR="00DB71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94.866,54 kn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odnose se na komunalnu naknadu</w:t>
      </w:r>
      <w:r w:rsidR="00DB71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94.472,00 kn i komunalni doprinos 394,54 kn</w:t>
      </w:r>
      <w:r w:rsidR="004C134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67CEB30" w14:textId="017D5663" w:rsidR="00893CA5" w:rsidRPr="00E370F0" w:rsidRDefault="00893CA5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FF60C5A" w14:textId="77777777" w:rsidR="000462B5" w:rsidRPr="00E370F0" w:rsidRDefault="000462B5" w:rsidP="00FE790E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D44A2A6" w14:textId="77777777" w:rsidR="001A0278" w:rsidRPr="00E370F0" w:rsidRDefault="00914AC9" w:rsidP="003642D2">
      <w:pPr>
        <w:pStyle w:val="Odlomakpopisa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4.2.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RASHODI</w:t>
      </w:r>
    </w:p>
    <w:p w14:paraId="0D209EDD" w14:textId="542011F2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Ukupni rashodi  i izda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ci za izvještajno razdoblje su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ostvareni </w:t>
      </w:r>
      <w:r w:rsidR="00966E1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859.451,83</w:t>
      </w:r>
      <w:r w:rsidR="0088597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77B2E9F" w14:textId="77777777" w:rsidR="00C94EF9" w:rsidRPr="00E370F0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BB8554B" w14:textId="430BDF38" w:rsidR="001A0278" w:rsidRPr="00E370F0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poslovanja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rashode za zaposlene, materijalne rashode, financijske rashode, subvencije, naknade građanima i kućanstvima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ostvareni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su u iznosu 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1.729.178,57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.</w:t>
      </w:r>
    </w:p>
    <w:p w14:paraId="6AB02711" w14:textId="70BFEEC3" w:rsidR="00206F39" w:rsidRPr="00E370F0" w:rsidRDefault="00C94EF9" w:rsidP="00FF101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zaposlene iznose 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599.832,85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</w:t>
      </w:r>
      <w:r w:rsidR="00B1558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(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500.929,48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8008C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bruto plaće i doprinosi na plaću 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82.653,37</w:t>
      </w:r>
      <w:r w:rsidR="00B1558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kn)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10C8A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 ostali rashodi za zaposlene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16.250,00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9ACD552" w14:textId="4615FFE8" w:rsidR="0087773F" w:rsidRPr="00E370F0" w:rsidRDefault="00C10C8A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zaposlene odnose se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jednu plaću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dužnosnika </w:t>
      </w:r>
      <w:r w:rsidR="00C94EF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tri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službenika,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jedan odgojitelj,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jedan komunalni djelatnik</w:t>
      </w:r>
      <w:r w:rsidR="00C2746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68955771" w14:textId="77777777" w:rsidR="005245D9" w:rsidRPr="00E370F0" w:rsidRDefault="005245D9" w:rsidP="000344C3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44884C9" w14:textId="2DAE0AD7" w:rsidR="008008C0" w:rsidRDefault="00C27464" w:rsidP="00FF101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materijal i energiju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319.025,00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najveći dio se odnosi na el. energiju 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282.881,92</w:t>
      </w:r>
      <w:r w:rsidR="00206F3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8008C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rashodi za usluge 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285.429,95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od čega </w:t>
      </w:r>
      <w:r w:rsidR="00FF101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92.765,00 kn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intelektualne usluge</w:t>
      </w:r>
      <w:r w:rsidR="0016114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(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usluge odvjetnika</w:t>
      </w:r>
      <w:r w:rsidR="0016114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38.718,86 kn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usluge prijave projekta</w:t>
      </w:r>
      <w:r w:rsidR="0016114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konzultantske usluge 22.546,14 kn, geodetsko katastarske  i usluge vještačenja građevinskog zemljišta 31.500,00 kn, izrada prometnog elaborata 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).</w:t>
      </w:r>
    </w:p>
    <w:p w14:paraId="60601FD6" w14:textId="62B2353F" w:rsidR="00C77539" w:rsidRDefault="00C77539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9B1B04A" w14:textId="5F6396FC" w:rsidR="00C77539" w:rsidRPr="00E370F0" w:rsidRDefault="00C77539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Ostali nespomenuti rashodi 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poslovanja iznose 155.343,04 kn, a odnosne se na rashode reprezentacije i članarine n u iznosu od 5.343,04  kn i povrat sredstava Gradu Biogradu u iznosu od 150.000,00 kn. </w:t>
      </w:r>
    </w:p>
    <w:p w14:paraId="51E27518" w14:textId="77B2EE03" w:rsidR="00D749D5" w:rsidRPr="00E370F0" w:rsidRDefault="00D749D5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661D031" w14:textId="385B059F" w:rsidR="00D749D5" w:rsidRDefault="00D749D5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Financijski rashodi iznose </w:t>
      </w:r>
      <w:r w:rsidR="0016114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43.598,86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rashode za kamate i bankarske usluge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17EA98FF" w14:textId="77777777" w:rsidR="0016114C" w:rsidRDefault="0016114C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FB221CE" w14:textId="3CE19579" w:rsidR="0016114C" w:rsidRPr="00E370F0" w:rsidRDefault="0016114C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Pomoći unutar općeg proračuna iznose 20.000,00 kn i odnose se na sufinanciranje šaltera u PP Benkovac.</w:t>
      </w:r>
    </w:p>
    <w:p w14:paraId="24E0A28A" w14:textId="77777777" w:rsidR="004C1345" w:rsidRPr="00E370F0" w:rsidRDefault="004C1345" w:rsidP="0016114C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BEFEAE7" w14:textId="4BEF9515" w:rsidR="001A4C30" w:rsidRPr="00E370F0" w:rsidRDefault="001A4C30" w:rsidP="0016114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Naknade građanima i kućanstvima iznose </w:t>
      </w:r>
      <w:r w:rsidR="0016114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159.081,00</w:t>
      </w:r>
      <w:r w:rsidR="00D43CF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10C8A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kuna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naknade za novorođeno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dijete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novčane pomoći  </w:t>
      </w:r>
      <w:r w:rsidR="00D43CF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90.467,60 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novčane naknade za studente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D43CF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43.200,00 kn 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naknade za priključak na vodovodnu mrežu </w:t>
      </w:r>
      <w:r w:rsidR="00D43CF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15.750,00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sufinanciranje prijevoza učenika </w:t>
      </w:r>
      <w:r w:rsidR="00D43CF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9.663,40</w:t>
      </w:r>
      <w:r w:rsidR="00D749D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E137AE2" w14:textId="77777777" w:rsidR="001A4C30" w:rsidRPr="00E370F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8E6339A" w14:textId="50809636" w:rsidR="004E3DD3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Tekuće</w:t>
      </w:r>
      <w:r w:rsidR="005E67AB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02BA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kapitalne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donacije su ostvarene u iznosu od </w:t>
      </w:r>
      <w:r w:rsidR="00D43CF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62.450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kn i odnose se na 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tekuće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donacij</w:t>
      </w:r>
      <w:r w:rsidR="004E3DD3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DVD Lišane </w:t>
      </w:r>
      <w:r w:rsidR="00BC062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34.000,00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733F3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 političkim strankama </w:t>
      </w:r>
      <w:r w:rsidR="00BC062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7.450,00</w:t>
      </w:r>
      <w:r w:rsidR="00733F3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kn,</w:t>
      </w:r>
      <w:r w:rsidR="004E3DD3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 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Crveni križ Benkovac 5.000 kn</w:t>
      </w:r>
      <w:r w:rsidR="00BC062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HGSS 1.000,00 kn i BK Lišane 10.000,00 kn i kapitalne donacije BK Lišane 5.000,00 kn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4B90768A" w14:textId="77777777" w:rsidR="00C95085" w:rsidRDefault="00C9508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764C292" w14:textId="11047F5F" w:rsidR="00C95085" w:rsidRDefault="00C9508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Kazne, penali i naknada štete su ostvarene u iznosu od 8.930,00 kn i odnose se na poticajnu naknadu za 2021. godinu.</w:t>
      </w:r>
    </w:p>
    <w:p w14:paraId="04815EB3" w14:textId="77777777" w:rsidR="00CE3086" w:rsidRPr="00E370F0" w:rsidRDefault="00CE3086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BE1948D" w14:textId="58AEAC00" w:rsidR="001A4C30" w:rsidRPr="00E370F0" w:rsidRDefault="001A4C30" w:rsidP="00E77887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nabavu nefinancijske imovine  iznose </w:t>
      </w:r>
      <w:r w:rsidR="00BC062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883.633,28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  <w:r w:rsidR="00CB222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većim dijelom se odnose Na asfaltiranje pristupnih puteva u Ostrovici 151.085,68 kn, uređenje i opremanje dječjeg igrališta kod općinske zgrade 513.632,60 kn i uređenje dječjeg igrališta kod crkve u Lišanima Ostrovičkim  u iznosu od 79.760,00 kn.</w:t>
      </w:r>
    </w:p>
    <w:p w14:paraId="44549CBF" w14:textId="77777777" w:rsidR="00BA469E" w:rsidRPr="00E370F0" w:rsidRDefault="00BA469E" w:rsidP="00E77887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80CDF6F" w14:textId="44C6F34C" w:rsidR="006F170C" w:rsidRPr="00E370F0" w:rsidRDefault="006F170C" w:rsidP="00CB222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nematerijalnu imovinu ostvareni su u iznosu </w:t>
      </w:r>
      <w:r w:rsidR="00CB222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115.817,50 kn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 i odnose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se na izradu projekta za ceste </w:t>
      </w:r>
      <w:r w:rsidR="00EB44B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7.500,00 kn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, provedbeni program 5.312,50 kn, </w:t>
      </w:r>
      <w:r w:rsidR="00EB44B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projekt višenamjensko igralište i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tenis</w:t>
      </w:r>
      <w:r w:rsidR="00EB44B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ki teren 18.750,00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kn</w:t>
      </w:r>
      <w:r w:rsidR="00EB44B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energetski pregled javne rasvjete 20.000,00 kn</w:t>
      </w:r>
      <w:r w:rsidR="00EB44B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glavni projekt modernizacije javne rasvjete 22.375,00 kn, usluge stručnog nadzora  nad izgradnjom pristupnog puta do groblja Sv. Ante Ostrovica 10.000,00 kn , računalni program (usklađenje uvođenje EURA) 19.380,00 kn i stručni nadzor nad izgradnjom i opremanjem dječjeg igrališta kod općinske zgrade u iznosu od 12.500,00 kn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16C629E" w14:textId="77777777" w:rsidR="00BA469E" w:rsidRPr="00E370F0" w:rsidRDefault="00BA469E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43CEBA9" w14:textId="77777777" w:rsidR="009D09AE" w:rsidRDefault="009D09AE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5248A09" w14:textId="77777777" w:rsidR="00C95085" w:rsidRDefault="00C9508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4FEDD99" w14:textId="77777777" w:rsidR="00C95085" w:rsidRDefault="00C9508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4825081" w14:textId="77777777" w:rsidR="00C95085" w:rsidRDefault="00C9508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921F2B0" w14:textId="77777777" w:rsidR="00C95085" w:rsidRDefault="00C9508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3B8A065" w14:textId="77777777" w:rsidR="00C95085" w:rsidRDefault="00C9508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8A93DF9" w14:textId="77777777" w:rsidR="00C95085" w:rsidRDefault="00C9508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D8BFDE8" w14:textId="77777777" w:rsidR="00C95085" w:rsidRPr="00E370F0" w:rsidRDefault="00C9508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4AAF114" w14:textId="77777777" w:rsidR="00914AC9" w:rsidRPr="00E370F0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4.3.</w:t>
      </w:r>
      <w:r w:rsidR="005245D9"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 xml:space="preserve"> OBRAZLOŽENJE VIŠE OSTVARENIH R</w:t>
      </w: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ASHODA</w:t>
      </w:r>
    </w:p>
    <w:p w14:paraId="7CEF3865" w14:textId="77777777" w:rsidR="00914AC9" w:rsidRPr="004C1345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</w:p>
    <w:p w14:paraId="64F395D1" w14:textId="6D4A66F3" w:rsidR="00CE7BE1" w:rsidRPr="004C1345" w:rsidRDefault="004C1345" w:rsidP="004C1345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  <w:r w:rsidRPr="004C1345">
        <w:rPr>
          <w:rFonts w:ascii="Cambria" w:hAnsi="Cambria" w:cs="Calibri,Bold"/>
          <w:color w:val="000000"/>
          <w:sz w:val="24"/>
          <w:szCs w:val="24"/>
          <w:lang w:eastAsia="hr-HR"/>
        </w:rPr>
        <w:t>Za izvještajno razdoblje nije bilo više ostvarenih rashoda u odnosu na planiran</w:t>
      </w:r>
      <w:r>
        <w:rPr>
          <w:rFonts w:ascii="Cambria" w:hAnsi="Cambria" w:cs="Calibri,Bold"/>
          <w:color w:val="000000"/>
          <w:sz w:val="24"/>
          <w:szCs w:val="24"/>
          <w:lang w:eastAsia="hr-HR"/>
        </w:rPr>
        <w:t>e.</w:t>
      </w:r>
    </w:p>
    <w:p w14:paraId="289D6C3A" w14:textId="3A4DBC0C" w:rsidR="00237065" w:rsidRPr="00E370F0" w:rsidRDefault="00237065" w:rsidP="0002578E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</w:p>
    <w:p w14:paraId="0AB09374" w14:textId="77777777" w:rsidR="00237065" w:rsidRPr="00E370F0" w:rsidRDefault="0023706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F20BDD9" w14:textId="61699C4C" w:rsidR="000F33E1" w:rsidRPr="00E370F0" w:rsidRDefault="000F33E1" w:rsidP="000F33E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Obveze i potraživanja</w:t>
      </w:r>
    </w:p>
    <w:p w14:paraId="2B9DEACC" w14:textId="77777777" w:rsidR="00BA469E" w:rsidRPr="00E370F0" w:rsidRDefault="00BA469E" w:rsidP="00BA469E">
      <w:pPr>
        <w:pStyle w:val="Odlomakpopisa"/>
        <w:spacing w:line="240" w:lineRule="auto"/>
        <w:ind w:left="36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1FF59C" w14:textId="05F4355A" w:rsidR="000F33E1" w:rsidRPr="00E370F0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Ukupne obveze  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31.12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.2022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iznose: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956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2.6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99.808,54</w:t>
      </w:r>
      <w:r w:rsidR="00B956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A07E2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</w:p>
    <w:p w14:paraId="431E6253" w14:textId="1AA37184" w:rsidR="000F33E1" w:rsidRPr="00E370F0" w:rsidRDefault="00B8343C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Ukupna potraživanja 3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1.12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.2022</w:t>
      </w:r>
      <w:r w:rsidR="000F33E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A07E2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211.828,26</w:t>
      </w:r>
      <w:r w:rsidR="00A07E2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</w:p>
    <w:p w14:paraId="6FA65A0E" w14:textId="180B0179" w:rsidR="00583BA9" w:rsidRPr="00E370F0" w:rsidRDefault="000F33E1" w:rsidP="000344C3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Stanje ž</w:t>
      </w:r>
      <w:r w:rsidR="00B8343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iro računa i blagajne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1.12.2022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iznosi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B956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-</w:t>
      </w:r>
      <w:r w:rsidR="00C9508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472.959,18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A07E2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</w:t>
      </w:r>
    </w:p>
    <w:p w14:paraId="5BD9C4FE" w14:textId="5FD9741F" w:rsidR="005245D9" w:rsidRPr="00E370F0" w:rsidRDefault="005245D9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448A188" w14:textId="77777777" w:rsidR="00BA469E" w:rsidRPr="00E370F0" w:rsidRDefault="00BA469E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C67327E" w14:textId="77777777" w:rsidR="008427FA" w:rsidRPr="00E370F0" w:rsidRDefault="008427FA" w:rsidP="00E1518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Deficit – suficit općeg  proračuna </w:t>
      </w:r>
    </w:p>
    <w:p w14:paraId="2E08ED08" w14:textId="77777777" w:rsidR="00086A38" w:rsidRPr="00E370F0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77A1CE8" w14:textId="290F8CB4" w:rsidR="007964B4" w:rsidRPr="00E370F0" w:rsidRDefault="00012A4A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Na </w:t>
      </w:r>
      <w:r w:rsidR="00666E8B">
        <w:rPr>
          <w:rFonts w:ascii="Cambria" w:hAnsi="Cambria"/>
          <w:sz w:val="24"/>
          <w:szCs w:val="24"/>
        </w:rPr>
        <w:t xml:space="preserve"> dan 3</w:t>
      </w:r>
      <w:r w:rsidR="00C95085">
        <w:rPr>
          <w:rFonts w:ascii="Cambria" w:hAnsi="Cambria"/>
          <w:sz w:val="24"/>
          <w:szCs w:val="24"/>
        </w:rPr>
        <w:t>1.12</w:t>
      </w:r>
      <w:r w:rsidR="00666E8B">
        <w:rPr>
          <w:rFonts w:ascii="Cambria" w:hAnsi="Cambria"/>
          <w:sz w:val="24"/>
          <w:szCs w:val="24"/>
        </w:rPr>
        <w:t>.2022.</w:t>
      </w:r>
      <w:r w:rsidR="007964B4" w:rsidRPr="00E370F0">
        <w:rPr>
          <w:rFonts w:ascii="Cambria" w:hAnsi="Cambria"/>
          <w:sz w:val="24"/>
          <w:szCs w:val="24"/>
        </w:rPr>
        <w:t xml:space="preserve"> godine rezultat poslovanja je:</w:t>
      </w:r>
    </w:p>
    <w:p w14:paraId="12B3B152" w14:textId="77777777" w:rsidR="00086A38" w:rsidRPr="00E370F0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528"/>
        <w:gridCol w:w="2092"/>
      </w:tblGrid>
      <w:tr w:rsidR="009748AC" w:rsidRPr="00E370F0" w14:paraId="64D853DE" w14:textId="77777777" w:rsidTr="009748AC">
        <w:tc>
          <w:tcPr>
            <w:tcW w:w="948" w:type="dxa"/>
          </w:tcPr>
          <w:p w14:paraId="12A663BE" w14:textId="77777777" w:rsidR="007964B4" w:rsidRPr="00E370F0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44D3868" w14:textId="2C753467" w:rsidR="007964B4" w:rsidRPr="00E370F0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Preneseni </w:t>
            </w:r>
            <w:r w:rsidR="004A2472" w:rsidRPr="00E370F0">
              <w:rPr>
                <w:rFonts w:ascii="Cambria" w:hAnsi="Cambria"/>
                <w:sz w:val="24"/>
                <w:szCs w:val="24"/>
              </w:rPr>
              <w:t>manjak</w:t>
            </w:r>
            <w:r w:rsidR="00A65C34" w:rsidRPr="00E370F0">
              <w:rPr>
                <w:rFonts w:ascii="Cambria" w:hAnsi="Cambria"/>
                <w:sz w:val="24"/>
                <w:szCs w:val="24"/>
              </w:rPr>
              <w:t xml:space="preserve"> iz 20</w:t>
            </w:r>
            <w:r w:rsidR="00A07E20" w:rsidRPr="00E370F0">
              <w:rPr>
                <w:rFonts w:ascii="Cambria" w:hAnsi="Cambria"/>
                <w:sz w:val="24"/>
                <w:szCs w:val="24"/>
              </w:rPr>
              <w:t>2</w:t>
            </w:r>
            <w:r w:rsidR="00853D08">
              <w:rPr>
                <w:rFonts w:ascii="Cambria" w:hAnsi="Cambria"/>
                <w:sz w:val="24"/>
                <w:szCs w:val="24"/>
              </w:rPr>
              <w:t>1</w:t>
            </w:r>
            <w:r w:rsidRPr="00E370F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086A38" w:rsidRPr="00E370F0">
              <w:rPr>
                <w:rFonts w:ascii="Cambria" w:hAnsi="Cambria"/>
                <w:sz w:val="24"/>
                <w:szCs w:val="24"/>
              </w:rPr>
              <w:t>g</w:t>
            </w:r>
            <w:r w:rsidRPr="00E370F0">
              <w:rPr>
                <w:rFonts w:ascii="Cambria" w:hAnsi="Cambria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14:paraId="7179B316" w14:textId="5D156860" w:rsidR="00BA469E" w:rsidRPr="00E370F0" w:rsidRDefault="00586AE7" w:rsidP="00666E8B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666E8B">
              <w:rPr>
                <w:rFonts w:ascii="Cambria" w:hAnsi="Cambria"/>
                <w:sz w:val="24"/>
                <w:szCs w:val="24"/>
              </w:rPr>
              <w:t>2.038.256,64</w:t>
            </w:r>
          </w:p>
        </w:tc>
      </w:tr>
      <w:tr w:rsidR="00A31827" w:rsidRPr="00E370F0" w14:paraId="6950EAD6" w14:textId="77777777" w:rsidTr="009748AC">
        <w:tc>
          <w:tcPr>
            <w:tcW w:w="948" w:type="dxa"/>
          </w:tcPr>
          <w:p w14:paraId="5A1655AC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5E18226" w14:textId="6EB6AD09" w:rsidR="00A31827" w:rsidRPr="00E370F0" w:rsidRDefault="004A2472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Višak </w:t>
            </w:r>
            <w:r w:rsidR="00A31827" w:rsidRPr="00E370F0">
              <w:rPr>
                <w:rFonts w:ascii="Cambria" w:hAnsi="Cambria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14:paraId="574ABD67" w14:textId="682CC0C1" w:rsidR="00A31827" w:rsidRPr="00E370F0" w:rsidRDefault="00853D08" w:rsidP="00E1518D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917.771,84</w:t>
            </w:r>
          </w:p>
        </w:tc>
      </w:tr>
      <w:tr w:rsidR="00A31827" w:rsidRPr="00E370F0" w14:paraId="35EF5B0D" w14:textId="77777777" w:rsidTr="009748AC">
        <w:tc>
          <w:tcPr>
            <w:tcW w:w="948" w:type="dxa"/>
          </w:tcPr>
          <w:p w14:paraId="604E0C73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D408985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14:paraId="1FE882D1" w14:textId="234FD9F4" w:rsidR="00A31827" w:rsidRPr="00E370F0" w:rsidRDefault="00666E8B" w:rsidP="00A65C34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53D08">
              <w:rPr>
                <w:rFonts w:ascii="Cambria" w:hAnsi="Cambria"/>
                <w:sz w:val="24"/>
                <w:szCs w:val="24"/>
              </w:rPr>
              <w:t>883.633,28</w:t>
            </w:r>
          </w:p>
        </w:tc>
      </w:tr>
      <w:tr w:rsidR="00514981" w:rsidRPr="00E370F0" w14:paraId="415FF1F3" w14:textId="77777777" w:rsidTr="009748AC">
        <w:tc>
          <w:tcPr>
            <w:tcW w:w="948" w:type="dxa"/>
          </w:tcPr>
          <w:p w14:paraId="3A84D45F" w14:textId="77777777" w:rsidR="00514981" w:rsidRPr="00E370F0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14D40167" w14:textId="479E307A" w:rsidR="00514981" w:rsidRPr="00E370F0" w:rsidRDefault="00853D08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Višak</w:t>
            </w:r>
            <w:r w:rsidR="00586AE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14981" w:rsidRPr="00E370F0">
              <w:rPr>
                <w:rFonts w:ascii="Cambria" w:hAnsi="Cambria"/>
                <w:sz w:val="24"/>
                <w:szCs w:val="24"/>
              </w:rPr>
              <w:t>primitaka od financijske imovine</w:t>
            </w:r>
          </w:p>
        </w:tc>
        <w:tc>
          <w:tcPr>
            <w:tcW w:w="2092" w:type="dxa"/>
          </w:tcPr>
          <w:p w14:paraId="24468B6F" w14:textId="2EB5BF9C" w:rsidR="00514981" w:rsidRPr="00E370F0" w:rsidRDefault="00853D08" w:rsidP="00E1518D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337.493,52</w:t>
            </w:r>
          </w:p>
        </w:tc>
      </w:tr>
      <w:tr w:rsidR="00A31827" w:rsidRPr="00E370F0" w14:paraId="58B6C799" w14:textId="77777777" w:rsidTr="009748AC">
        <w:tc>
          <w:tcPr>
            <w:tcW w:w="948" w:type="dxa"/>
          </w:tcPr>
          <w:p w14:paraId="18D1BBD7" w14:textId="7A3CFFE0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1FE24D" w14:textId="74A9227C" w:rsidR="00A31827" w:rsidRPr="009D09AE" w:rsidRDefault="00086A38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Ukupni </w:t>
            </w:r>
            <w:r w:rsidR="0087690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manjak </w:t>
            </w:r>
            <w:r w:rsidR="009D09A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za pokriće u idućem razdoblju</w:t>
            </w:r>
          </w:p>
        </w:tc>
        <w:tc>
          <w:tcPr>
            <w:tcW w:w="2092" w:type="dxa"/>
          </w:tcPr>
          <w:p w14:paraId="7F396A7A" w14:textId="046D9948" w:rsidR="00A31827" w:rsidRPr="009D09AE" w:rsidRDefault="00853D08" w:rsidP="00427C6E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1.666.624,56</w:t>
            </w:r>
          </w:p>
        </w:tc>
      </w:tr>
    </w:tbl>
    <w:p w14:paraId="3A508073" w14:textId="77777777" w:rsidR="008427FA" w:rsidRPr="00E370F0" w:rsidRDefault="008427FA" w:rsidP="00586AE7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D5C7D7D" w14:textId="77777777" w:rsidR="008427FA" w:rsidRDefault="008427FA" w:rsidP="00E1518D">
      <w:pPr>
        <w:jc w:val="both"/>
        <w:rPr>
          <w:rFonts w:ascii="Cambria" w:hAnsi="Cambria"/>
          <w:sz w:val="24"/>
          <w:szCs w:val="24"/>
        </w:rPr>
      </w:pPr>
    </w:p>
    <w:p w14:paraId="0EDC272F" w14:textId="77777777" w:rsidR="00853D08" w:rsidRPr="00E370F0" w:rsidRDefault="00853D08" w:rsidP="00E1518D">
      <w:pPr>
        <w:jc w:val="both"/>
        <w:rPr>
          <w:rFonts w:ascii="Cambria" w:hAnsi="Cambria"/>
          <w:sz w:val="24"/>
          <w:szCs w:val="24"/>
        </w:rPr>
      </w:pPr>
    </w:p>
    <w:p w14:paraId="56EB3133" w14:textId="5C20863D" w:rsidR="00BA469E" w:rsidRDefault="008427FA" w:rsidP="004748E9">
      <w:pPr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>ZAKONSKI PREDSTAVNIK</w:t>
      </w:r>
    </w:p>
    <w:p w14:paraId="786077FD" w14:textId="77777777" w:rsidR="00853D08" w:rsidRPr="00E370F0" w:rsidRDefault="00853D08" w:rsidP="004748E9">
      <w:pPr>
        <w:outlineLvl w:val="0"/>
        <w:rPr>
          <w:rFonts w:ascii="Cambria" w:hAnsi="Cambria"/>
          <w:b/>
          <w:sz w:val="24"/>
          <w:szCs w:val="24"/>
        </w:rPr>
      </w:pPr>
    </w:p>
    <w:p w14:paraId="604C7B22" w14:textId="763BAEE0" w:rsidR="008427FA" w:rsidRPr="00E370F0" w:rsidRDefault="00BA469E" w:rsidP="00D1157F">
      <w:pPr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  <w:t>Zvonimir Mijić, univ.bacc.oec.</w:t>
      </w:r>
    </w:p>
    <w:p w14:paraId="711CB665" w14:textId="45379962" w:rsidR="008427FA" w:rsidRPr="00FD2BE9" w:rsidRDefault="008427FA" w:rsidP="004748E9">
      <w:pPr>
        <w:outlineLvl w:val="0"/>
        <w:rPr>
          <w:rFonts w:ascii="Times New Roman" w:hAnsi="Times New Roman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0344C3">
      <w:footerReference w:type="default" r:id="rId10"/>
      <w:pgSz w:w="11906" w:h="16838"/>
      <w:pgMar w:top="1135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A797" w14:textId="77777777" w:rsidR="008900E7" w:rsidRDefault="008900E7" w:rsidP="001A0278">
      <w:pPr>
        <w:spacing w:line="240" w:lineRule="auto"/>
      </w:pPr>
      <w:r>
        <w:separator/>
      </w:r>
    </w:p>
  </w:endnote>
  <w:endnote w:type="continuationSeparator" w:id="0">
    <w:p w14:paraId="293901E7" w14:textId="77777777" w:rsidR="008900E7" w:rsidRDefault="008900E7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097F" w14:textId="77777777" w:rsidR="001A0278" w:rsidRDefault="00000000">
    <w:pPr>
      <w:pStyle w:val="Podnoje"/>
    </w:pPr>
    <w:r>
      <w:rPr>
        <w:rFonts w:ascii="Cambria" w:hAnsi="Cambria"/>
        <w:noProof/>
        <w:sz w:val="28"/>
        <w:szCs w:val="28"/>
        <w:lang w:eastAsia="zh-TW"/>
      </w:rPr>
      <w:pict w14:anchorId="60AD68F9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1025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 style="mso-next-textbox:#_x0000_s1025">
            <w:txbxContent>
              <w:p w14:paraId="77A10985" w14:textId="77777777" w:rsidR="001A0278" w:rsidRDefault="00D42B15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F72168" w:rsidRPr="00F7216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D325" w14:textId="77777777" w:rsidR="008900E7" w:rsidRDefault="008900E7" w:rsidP="001A0278">
      <w:pPr>
        <w:spacing w:line="240" w:lineRule="auto"/>
      </w:pPr>
      <w:r>
        <w:separator/>
      </w:r>
    </w:p>
  </w:footnote>
  <w:footnote w:type="continuationSeparator" w:id="0">
    <w:p w14:paraId="2870EB7F" w14:textId="77777777" w:rsidR="008900E7" w:rsidRDefault="008900E7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20299558">
    <w:abstractNumId w:val="1"/>
  </w:num>
  <w:num w:numId="2" w16cid:durableId="962855331">
    <w:abstractNumId w:val="0"/>
  </w:num>
  <w:num w:numId="3" w16cid:durableId="114886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allout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57F"/>
    <w:rsid w:val="00000B06"/>
    <w:rsid w:val="000029C0"/>
    <w:rsid w:val="00012A4A"/>
    <w:rsid w:val="0001455D"/>
    <w:rsid w:val="0002578E"/>
    <w:rsid w:val="00025EB6"/>
    <w:rsid w:val="00030AC9"/>
    <w:rsid w:val="000344C3"/>
    <w:rsid w:val="000417F6"/>
    <w:rsid w:val="000462B5"/>
    <w:rsid w:val="00074027"/>
    <w:rsid w:val="00086A38"/>
    <w:rsid w:val="000A2814"/>
    <w:rsid w:val="000A7800"/>
    <w:rsid w:val="000B22EE"/>
    <w:rsid w:val="000B5772"/>
    <w:rsid w:val="000C7524"/>
    <w:rsid w:val="000C76E5"/>
    <w:rsid w:val="000F1BDE"/>
    <w:rsid w:val="000F33E1"/>
    <w:rsid w:val="000F6F19"/>
    <w:rsid w:val="001135AA"/>
    <w:rsid w:val="001251EF"/>
    <w:rsid w:val="0014195D"/>
    <w:rsid w:val="00154672"/>
    <w:rsid w:val="00155B39"/>
    <w:rsid w:val="0016114C"/>
    <w:rsid w:val="00163BE6"/>
    <w:rsid w:val="001A0278"/>
    <w:rsid w:val="001A4C30"/>
    <w:rsid w:val="001B6851"/>
    <w:rsid w:val="001D4937"/>
    <w:rsid w:val="001E04D8"/>
    <w:rsid w:val="00206F39"/>
    <w:rsid w:val="00215969"/>
    <w:rsid w:val="00237065"/>
    <w:rsid w:val="002438B2"/>
    <w:rsid w:val="00244622"/>
    <w:rsid w:val="002558AF"/>
    <w:rsid w:val="00266961"/>
    <w:rsid w:val="002669D4"/>
    <w:rsid w:val="00271AC2"/>
    <w:rsid w:val="002832DF"/>
    <w:rsid w:val="00292617"/>
    <w:rsid w:val="002A40B5"/>
    <w:rsid w:val="002B0C53"/>
    <w:rsid w:val="002D1395"/>
    <w:rsid w:val="00301D05"/>
    <w:rsid w:val="003231A8"/>
    <w:rsid w:val="00323486"/>
    <w:rsid w:val="003335D8"/>
    <w:rsid w:val="003364B9"/>
    <w:rsid w:val="00343BE6"/>
    <w:rsid w:val="003566AA"/>
    <w:rsid w:val="003642D2"/>
    <w:rsid w:val="0037156F"/>
    <w:rsid w:val="00372D1F"/>
    <w:rsid w:val="003767B0"/>
    <w:rsid w:val="00391536"/>
    <w:rsid w:val="003B6996"/>
    <w:rsid w:val="003D4C5C"/>
    <w:rsid w:val="003E1ADE"/>
    <w:rsid w:val="003E34DB"/>
    <w:rsid w:val="003F660F"/>
    <w:rsid w:val="00402DFB"/>
    <w:rsid w:val="00427C6E"/>
    <w:rsid w:val="004353AA"/>
    <w:rsid w:val="00443F80"/>
    <w:rsid w:val="00445B70"/>
    <w:rsid w:val="00454F6D"/>
    <w:rsid w:val="00456799"/>
    <w:rsid w:val="00463BE8"/>
    <w:rsid w:val="00473A78"/>
    <w:rsid w:val="004748E9"/>
    <w:rsid w:val="004801EC"/>
    <w:rsid w:val="004849A5"/>
    <w:rsid w:val="00484D99"/>
    <w:rsid w:val="004A0EDB"/>
    <w:rsid w:val="004A2472"/>
    <w:rsid w:val="004A37D9"/>
    <w:rsid w:val="004C1345"/>
    <w:rsid w:val="004E3DD3"/>
    <w:rsid w:val="004F36E4"/>
    <w:rsid w:val="00514981"/>
    <w:rsid w:val="005245D9"/>
    <w:rsid w:val="00524D7B"/>
    <w:rsid w:val="005278CC"/>
    <w:rsid w:val="0053668B"/>
    <w:rsid w:val="005372FC"/>
    <w:rsid w:val="0054719A"/>
    <w:rsid w:val="00551849"/>
    <w:rsid w:val="00556776"/>
    <w:rsid w:val="00562924"/>
    <w:rsid w:val="005727E2"/>
    <w:rsid w:val="005752CD"/>
    <w:rsid w:val="00583BA9"/>
    <w:rsid w:val="00586AE7"/>
    <w:rsid w:val="005C1726"/>
    <w:rsid w:val="005D147A"/>
    <w:rsid w:val="005E67AB"/>
    <w:rsid w:val="005F048D"/>
    <w:rsid w:val="005F2EE8"/>
    <w:rsid w:val="0060459F"/>
    <w:rsid w:val="006073B9"/>
    <w:rsid w:val="00616148"/>
    <w:rsid w:val="0062624F"/>
    <w:rsid w:val="00652A85"/>
    <w:rsid w:val="00657A5C"/>
    <w:rsid w:val="00666E8B"/>
    <w:rsid w:val="00685A39"/>
    <w:rsid w:val="00691AB6"/>
    <w:rsid w:val="006A03F3"/>
    <w:rsid w:val="006A48BB"/>
    <w:rsid w:val="006E371D"/>
    <w:rsid w:val="006E3D70"/>
    <w:rsid w:val="006F170C"/>
    <w:rsid w:val="00715F2D"/>
    <w:rsid w:val="00723356"/>
    <w:rsid w:val="00724E6D"/>
    <w:rsid w:val="00727965"/>
    <w:rsid w:val="00733F39"/>
    <w:rsid w:val="00770725"/>
    <w:rsid w:val="007826B2"/>
    <w:rsid w:val="00786A80"/>
    <w:rsid w:val="007964B4"/>
    <w:rsid w:val="007C7AB5"/>
    <w:rsid w:val="007D457C"/>
    <w:rsid w:val="007E233E"/>
    <w:rsid w:val="008008C0"/>
    <w:rsid w:val="0080174C"/>
    <w:rsid w:val="00802A10"/>
    <w:rsid w:val="008229A2"/>
    <w:rsid w:val="00824887"/>
    <w:rsid w:val="00826FCC"/>
    <w:rsid w:val="008314A3"/>
    <w:rsid w:val="008427FA"/>
    <w:rsid w:val="00851358"/>
    <w:rsid w:val="00853D08"/>
    <w:rsid w:val="008567B6"/>
    <w:rsid w:val="00862E75"/>
    <w:rsid w:val="00865A38"/>
    <w:rsid w:val="00867687"/>
    <w:rsid w:val="00872F58"/>
    <w:rsid w:val="008761AA"/>
    <w:rsid w:val="0087690E"/>
    <w:rsid w:val="0087773F"/>
    <w:rsid w:val="00880819"/>
    <w:rsid w:val="00885976"/>
    <w:rsid w:val="008900E7"/>
    <w:rsid w:val="0089061C"/>
    <w:rsid w:val="00893CA5"/>
    <w:rsid w:val="009071BA"/>
    <w:rsid w:val="00914AC9"/>
    <w:rsid w:val="00916C92"/>
    <w:rsid w:val="00924C85"/>
    <w:rsid w:val="009365D8"/>
    <w:rsid w:val="00951D41"/>
    <w:rsid w:val="00954B00"/>
    <w:rsid w:val="00966E19"/>
    <w:rsid w:val="00972E2D"/>
    <w:rsid w:val="009748AC"/>
    <w:rsid w:val="00985F6E"/>
    <w:rsid w:val="009B58C5"/>
    <w:rsid w:val="009D09AE"/>
    <w:rsid w:val="009D3692"/>
    <w:rsid w:val="009E05EB"/>
    <w:rsid w:val="009F2D03"/>
    <w:rsid w:val="009F4D8F"/>
    <w:rsid w:val="00A07E20"/>
    <w:rsid w:val="00A1202D"/>
    <w:rsid w:val="00A25921"/>
    <w:rsid w:val="00A31827"/>
    <w:rsid w:val="00A65C34"/>
    <w:rsid w:val="00A90409"/>
    <w:rsid w:val="00AB2439"/>
    <w:rsid w:val="00AF4594"/>
    <w:rsid w:val="00B02B6E"/>
    <w:rsid w:val="00B03115"/>
    <w:rsid w:val="00B15582"/>
    <w:rsid w:val="00B409CE"/>
    <w:rsid w:val="00B50A21"/>
    <w:rsid w:val="00B754B6"/>
    <w:rsid w:val="00B8343C"/>
    <w:rsid w:val="00B95663"/>
    <w:rsid w:val="00BA36DE"/>
    <w:rsid w:val="00BA469E"/>
    <w:rsid w:val="00BA7DCB"/>
    <w:rsid w:val="00BB077B"/>
    <w:rsid w:val="00BB5272"/>
    <w:rsid w:val="00BC062B"/>
    <w:rsid w:val="00BC7877"/>
    <w:rsid w:val="00BC7975"/>
    <w:rsid w:val="00BD16E7"/>
    <w:rsid w:val="00BE32B5"/>
    <w:rsid w:val="00BF04AA"/>
    <w:rsid w:val="00BF1A53"/>
    <w:rsid w:val="00C0537C"/>
    <w:rsid w:val="00C10C8A"/>
    <w:rsid w:val="00C112C7"/>
    <w:rsid w:val="00C27464"/>
    <w:rsid w:val="00C37350"/>
    <w:rsid w:val="00C41C40"/>
    <w:rsid w:val="00C45B5A"/>
    <w:rsid w:val="00C56D25"/>
    <w:rsid w:val="00C766FD"/>
    <w:rsid w:val="00C77539"/>
    <w:rsid w:val="00C900FB"/>
    <w:rsid w:val="00C94EF9"/>
    <w:rsid w:val="00C95085"/>
    <w:rsid w:val="00CA0C12"/>
    <w:rsid w:val="00CA448A"/>
    <w:rsid w:val="00CB1170"/>
    <w:rsid w:val="00CB222C"/>
    <w:rsid w:val="00CC2800"/>
    <w:rsid w:val="00CE3086"/>
    <w:rsid w:val="00CE3941"/>
    <w:rsid w:val="00CE7BE1"/>
    <w:rsid w:val="00D0770E"/>
    <w:rsid w:val="00D1157F"/>
    <w:rsid w:val="00D1462A"/>
    <w:rsid w:val="00D303AA"/>
    <w:rsid w:val="00D30899"/>
    <w:rsid w:val="00D4119F"/>
    <w:rsid w:val="00D42B15"/>
    <w:rsid w:val="00D43CF6"/>
    <w:rsid w:val="00D52459"/>
    <w:rsid w:val="00D749D5"/>
    <w:rsid w:val="00D828D9"/>
    <w:rsid w:val="00DB5B0B"/>
    <w:rsid w:val="00DB6AA8"/>
    <w:rsid w:val="00DB7153"/>
    <w:rsid w:val="00DE2C00"/>
    <w:rsid w:val="00DE34C8"/>
    <w:rsid w:val="00DE38A5"/>
    <w:rsid w:val="00DF273D"/>
    <w:rsid w:val="00E02834"/>
    <w:rsid w:val="00E1518D"/>
    <w:rsid w:val="00E24B83"/>
    <w:rsid w:val="00E274D9"/>
    <w:rsid w:val="00E370F0"/>
    <w:rsid w:val="00E47EFD"/>
    <w:rsid w:val="00E57A58"/>
    <w:rsid w:val="00E65478"/>
    <w:rsid w:val="00E77887"/>
    <w:rsid w:val="00E77FD0"/>
    <w:rsid w:val="00EA6742"/>
    <w:rsid w:val="00EB339B"/>
    <w:rsid w:val="00EB44BD"/>
    <w:rsid w:val="00ED7AE1"/>
    <w:rsid w:val="00EF1D70"/>
    <w:rsid w:val="00F02BA5"/>
    <w:rsid w:val="00F07001"/>
    <w:rsid w:val="00F12E24"/>
    <w:rsid w:val="00F2002F"/>
    <w:rsid w:val="00F36BB8"/>
    <w:rsid w:val="00F4543A"/>
    <w:rsid w:val="00F455C5"/>
    <w:rsid w:val="00F47C43"/>
    <w:rsid w:val="00F700DE"/>
    <w:rsid w:val="00F72168"/>
    <w:rsid w:val="00F72A6E"/>
    <w:rsid w:val="00F766D6"/>
    <w:rsid w:val="00F952FB"/>
    <w:rsid w:val="00FA0761"/>
    <w:rsid w:val="00FA1A38"/>
    <w:rsid w:val="00FA681D"/>
    <w:rsid w:val="00FB0B1A"/>
    <w:rsid w:val="00FB2177"/>
    <w:rsid w:val="00FB4411"/>
    <w:rsid w:val="00FB5239"/>
    <w:rsid w:val="00FC4109"/>
    <w:rsid w:val="00FD13FE"/>
    <w:rsid w:val="00FD2BE9"/>
    <w:rsid w:val="00FE790E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27E5F02"/>
  <w15:docId w15:val="{56F809A3-4AA2-4CB8-9886-29C461A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0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CD29-CA01-4DB0-B5DD-F9B440B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108</cp:revision>
  <cp:lastPrinted>2023-04-13T12:15:00Z</cp:lastPrinted>
  <dcterms:created xsi:type="dcterms:W3CDTF">2014-04-30T11:44:00Z</dcterms:created>
  <dcterms:modified xsi:type="dcterms:W3CDTF">2023-04-17T11:40:00Z</dcterms:modified>
</cp:coreProperties>
</file>