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FA" w:rsidRPr="00E1518D" w:rsidRDefault="00F766D6" w:rsidP="00872F58">
      <w:pPr>
        <w:ind w:left="720"/>
        <w:rPr>
          <w:rFonts w:asciiTheme="majorHAnsi" w:hAnsiTheme="majorHAnsi" w:cs="Arial"/>
          <w:b/>
        </w:rPr>
      </w:pPr>
      <w:r w:rsidRPr="00F766D6">
        <w:rPr>
          <w:rFonts w:asciiTheme="majorHAnsi" w:hAnsiTheme="majorHAnsi"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Prikaži sliku u izvornoj veličini." style="position:absolute;left:0;text-align:left;margin-left:36pt;margin-top:-18pt;width:34.85pt;height:45.1pt;z-index:-2;visibility:visible" wrapcoords="-470 0 -470 21240 21600 21240 21600 0 -470 0">
            <v:imagedata r:id="rId7" o:title="grb-rh"/>
            <w10:wrap type="tight"/>
          </v:shape>
        </w:pict>
      </w:r>
    </w:p>
    <w:p w:rsidR="008427FA" w:rsidRPr="00E1518D" w:rsidRDefault="008427FA" w:rsidP="00FD2BE9">
      <w:pPr>
        <w:rPr>
          <w:rFonts w:asciiTheme="majorHAnsi" w:hAnsiTheme="majorHAnsi" w:cs="Arial"/>
          <w:b/>
        </w:rPr>
      </w:pPr>
    </w:p>
    <w:p w:rsidR="008427FA" w:rsidRPr="00E1518D" w:rsidRDefault="008427FA" w:rsidP="004748E9">
      <w:pPr>
        <w:outlineLvl w:val="0"/>
        <w:rPr>
          <w:rFonts w:asciiTheme="majorHAnsi" w:hAnsiTheme="majorHAnsi" w:cs="Arial"/>
          <w:b/>
        </w:rPr>
      </w:pPr>
      <w:r w:rsidRPr="00E1518D">
        <w:rPr>
          <w:rFonts w:asciiTheme="majorHAnsi" w:hAnsiTheme="majorHAnsi" w:cs="Arial"/>
          <w:b/>
        </w:rPr>
        <w:t>REPUBLIKA HRVATSKA</w:t>
      </w:r>
    </w:p>
    <w:p w:rsidR="008427FA" w:rsidRPr="00E1518D" w:rsidRDefault="008427FA" w:rsidP="004748E9">
      <w:pPr>
        <w:outlineLvl w:val="0"/>
        <w:rPr>
          <w:rFonts w:asciiTheme="majorHAnsi" w:hAnsiTheme="majorHAnsi" w:cs="Arial"/>
          <w:b/>
        </w:rPr>
      </w:pPr>
      <w:r w:rsidRPr="00E1518D">
        <w:rPr>
          <w:rFonts w:asciiTheme="majorHAnsi" w:hAnsiTheme="majorHAnsi" w:cs="Arial"/>
          <w:b/>
        </w:rPr>
        <w:t>ZADARSKA ŽUPANIJA</w:t>
      </w:r>
    </w:p>
    <w:p w:rsidR="008427FA" w:rsidRPr="00E1518D" w:rsidRDefault="00F766D6" w:rsidP="004748E9">
      <w:pPr>
        <w:ind w:left="1416"/>
        <w:outlineLvl w:val="0"/>
        <w:rPr>
          <w:rFonts w:asciiTheme="majorHAnsi" w:hAnsiTheme="majorHAnsi"/>
          <w:b/>
          <w:sz w:val="20"/>
          <w:szCs w:val="20"/>
        </w:rPr>
      </w:pPr>
      <w:r w:rsidRPr="00F766D6">
        <w:rPr>
          <w:rFonts w:asciiTheme="majorHAnsi" w:hAnsiTheme="majorHAnsi"/>
          <w:noProof/>
          <w:lang w:eastAsia="hr-HR"/>
        </w:rPr>
        <w:pict>
          <v:shape id="Picture 3" o:spid="_x0000_s1027" type="#_x0000_t75" alt="grb općine" style="position:absolute;left:0;text-align:left;margin-left:0;margin-top:3.05pt;width:29.2pt;height:36.5pt;z-index:-1;visibility:visible" wrapcoords="-554 0 -554 21159 21600 21159 21600 0 -554 0" o:allowoverlap="f">
            <v:imagedata r:id="rId8" o:title="" cropbottom="28199f" cropright="29434f"/>
            <w10:wrap type="tight"/>
          </v:shape>
        </w:pict>
      </w:r>
      <w:r w:rsidR="008427FA" w:rsidRPr="00E1518D">
        <w:rPr>
          <w:rFonts w:asciiTheme="majorHAnsi" w:hAnsiTheme="majorHAnsi"/>
          <w:b/>
          <w:sz w:val="20"/>
          <w:szCs w:val="20"/>
        </w:rPr>
        <w:t>OPĆINA</w:t>
      </w: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0"/>
          <w:szCs w:val="20"/>
        </w:rPr>
      </w:pPr>
      <w:r w:rsidRPr="00E1518D">
        <w:rPr>
          <w:rFonts w:asciiTheme="majorHAnsi" w:hAnsiTheme="majorHAnsi"/>
          <w:b/>
          <w:sz w:val="20"/>
          <w:szCs w:val="20"/>
        </w:rPr>
        <w:t>LIŠANE OSTROVIČKE</w:t>
      </w:r>
    </w:p>
    <w:p w:rsidR="008427FA" w:rsidRPr="00E1518D" w:rsidRDefault="008427FA" w:rsidP="00FD2BE9">
      <w:pPr>
        <w:rPr>
          <w:rFonts w:asciiTheme="majorHAnsi" w:hAnsiTheme="majorHAnsi"/>
          <w:b/>
          <w:sz w:val="20"/>
          <w:szCs w:val="20"/>
        </w:rPr>
      </w:pP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RKP:34725</w:t>
      </w: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MB: 02544342</w:t>
      </w: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OIB:85070536153</w:t>
      </w:r>
    </w:p>
    <w:p w:rsidR="008427FA" w:rsidRPr="00E1518D" w:rsidRDefault="008427FA" w:rsidP="004748E9">
      <w:pPr>
        <w:outlineLvl w:val="0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IBAN7224070001823400004</w:t>
      </w:r>
    </w:p>
    <w:p w:rsidR="008427FA" w:rsidRPr="00E1518D" w:rsidRDefault="008427FA" w:rsidP="00D1157F">
      <w:pPr>
        <w:rPr>
          <w:rFonts w:asciiTheme="majorHAnsi" w:hAnsiTheme="majorHAnsi"/>
          <w:b/>
          <w:sz w:val="24"/>
          <w:szCs w:val="24"/>
        </w:rPr>
      </w:pPr>
    </w:p>
    <w:p w:rsidR="008427FA" w:rsidRDefault="008427FA" w:rsidP="00A1202D">
      <w:pPr>
        <w:rPr>
          <w:rFonts w:asciiTheme="majorHAnsi" w:hAnsiTheme="majorHAnsi"/>
          <w:b/>
          <w:sz w:val="24"/>
          <w:szCs w:val="24"/>
        </w:rPr>
      </w:pPr>
    </w:p>
    <w:p w:rsidR="005C1726" w:rsidRPr="00E1518D" w:rsidRDefault="005C1726" w:rsidP="005C1726">
      <w:pPr>
        <w:jc w:val="center"/>
        <w:rPr>
          <w:rFonts w:asciiTheme="majorHAnsi" w:hAnsiTheme="majorHAnsi"/>
          <w:b/>
          <w:sz w:val="24"/>
          <w:szCs w:val="24"/>
        </w:rPr>
      </w:pPr>
    </w:p>
    <w:p w:rsidR="008427FA" w:rsidRPr="00E1518D" w:rsidRDefault="008427FA" w:rsidP="005C1726">
      <w:pPr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BILJEŠKE UZ GODIŠNJI IZVJEŠTAJ  O IZVRŠENJU PRORAČUNA</w:t>
      </w:r>
    </w:p>
    <w:p w:rsidR="008427FA" w:rsidRPr="00E1518D" w:rsidRDefault="008427FA" w:rsidP="005C1726">
      <w:pPr>
        <w:jc w:val="center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 xml:space="preserve">ZA </w:t>
      </w:r>
      <w:r w:rsidR="0014195D">
        <w:rPr>
          <w:rFonts w:asciiTheme="majorHAnsi" w:hAnsiTheme="majorHAnsi"/>
          <w:b/>
          <w:sz w:val="24"/>
          <w:szCs w:val="24"/>
        </w:rPr>
        <w:t>2018</w:t>
      </w:r>
      <w:r w:rsidRPr="00E1518D">
        <w:rPr>
          <w:rFonts w:asciiTheme="majorHAnsi" w:hAnsiTheme="majorHAnsi"/>
          <w:b/>
          <w:sz w:val="24"/>
          <w:szCs w:val="24"/>
        </w:rPr>
        <w:t>. GODINU.</w:t>
      </w:r>
    </w:p>
    <w:p w:rsidR="008427FA" w:rsidRDefault="008427FA" w:rsidP="00E1518D">
      <w:pPr>
        <w:jc w:val="both"/>
        <w:rPr>
          <w:rFonts w:asciiTheme="majorHAnsi" w:hAnsiTheme="majorHAnsi"/>
          <w:b/>
          <w:sz w:val="24"/>
          <w:szCs w:val="24"/>
        </w:rPr>
      </w:pPr>
    </w:p>
    <w:p w:rsidR="005C1726" w:rsidRPr="00E1518D" w:rsidRDefault="005C1726" w:rsidP="00E1518D">
      <w:pPr>
        <w:jc w:val="both"/>
        <w:rPr>
          <w:rFonts w:asciiTheme="majorHAnsi" w:hAnsiTheme="majorHAnsi"/>
          <w:b/>
          <w:sz w:val="24"/>
          <w:szCs w:val="24"/>
        </w:rPr>
      </w:pPr>
    </w:p>
    <w:p w:rsidR="008427FA" w:rsidRPr="001A0278" w:rsidRDefault="008427FA" w:rsidP="00E1518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b/>
          <w:sz w:val="28"/>
          <w:szCs w:val="28"/>
        </w:rPr>
      </w:pPr>
      <w:r w:rsidRPr="001A0278">
        <w:rPr>
          <w:rFonts w:asciiTheme="majorHAnsi" w:hAnsiTheme="majorHAnsi"/>
          <w:b/>
          <w:sz w:val="28"/>
          <w:szCs w:val="28"/>
        </w:rPr>
        <w:t>Izvještaj o zaduživanju na domaćem  i stranom tržištu.</w:t>
      </w:r>
    </w:p>
    <w:p w:rsidR="006E371D" w:rsidRDefault="0014195D" w:rsidP="006E371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 2018</w:t>
      </w:r>
      <w:r w:rsidR="006E371D" w:rsidRPr="00DC66DA">
        <w:rPr>
          <w:bCs/>
          <w:sz w:val="24"/>
          <w:szCs w:val="24"/>
        </w:rPr>
        <w:t>. godin</w:t>
      </w:r>
      <w:r w:rsidR="006E371D">
        <w:rPr>
          <w:bCs/>
          <w:sz w:val="24"/>
          <w:szCs w:val="24"/>
        </w:rPr>
        <w:t>i</w:t>
      </w:r>
      <w:r w:rsidR="006E371D" w:rsidRPr="00DC66DA">
        <w:rPr>
          <w:bCs/>
          <w:sz w:val="24"/>
          <w:szCs w:val="24"/>
        </w:rPr>
        <w:t xml:space="preserve"> Općina </w:t>
      </w:r>
      <w:proofErr w:type="spellStart"/>
      <w:r w:rsidR="006E371D">
        <w:rPr>
          <w:bCs/>
          <w:sz w:val="24"/>
          <w:szCs w:val="24"/>
        </w:rPr>
        <w:t>Lišane</w:t>
      </w:r>
      <w:proofErr w:type="spellEnd"/>
      <w:r w:rsidR="006E371D">
        <w:rPr>
          <w:bCs/>
          <w:sz w:val="24"/>
          <w:szCs w:val="24"/>
        </w:rPr>
        <w:t xml:space="preserve"> </w:t>
      </w:r>
      <w:proofErr w:type="spellStart"/>
      <w:r w:rsidR="006E371D">
        <w:rPr>
          <w:bCs/>
          <w:sz w:val="24"/>
          <w:szCs w:val="24"/>
        </w:rPr>
        <w:t>Ostrovičke</w:t>
      </w:r>
      <w:proofErr w:type="spellEnd"/>
      <w:r w:rsidR="006E371D">
        <w:rPr>
          <w:bCs/>
          <w:sz w:val="24"/>
          <w:szCs w:val="24"/>
        </w:rPr>
        <w:t xml:space="preserve"> </w:t>
      </w:r>
      <w:r w:rsidR="006E371D" w:rsidRPr="00DC66DA">
        <w:rPr>
          <w:bCs/>
          <w:sz w:val="24"/>
          <w:szCs w:val="24"/>
        </w:rPr>
        <w:t xml:space="preserve"> se </w:t>
      </w:r>
      <w:r w:rsidR="006E371D">
        <w:rPr>
          <w:bCs/>
          <w:sz w:val="24"/>
          <w:szCs w:val="24"/>
        </w:rPr>
        <w:t xml:space="preserve">kratkoročno </w:t>
      </w:r>
      <w:r w:rsidR="006E371D" w:rsidRPr="00DC66DA">
        <w:rPr>
          <w:bCs/>
          <w:sz w:val="24"/>
          <w:szCs w:val="24"/>
        </w:rPr>
        <w:t>zaduž</w:t>
      </w:r>
      <w:r w:rsidR="006E371D">
        <w:rPr>
          <w:bCs/>
          <w:sz w:val="24"/>
          <w:szCs w:val="24"/>
        </w:rPr>
        <w:t xml:space="preserve">ivala kod OTP  banke  uzimanjem minusa na žiro računu. </w:t>
      </w:r>
    </w:p>
    <w:p w:rsidR="006E371D" w:rsidRDefault="006E371D" w:rsidP="006E371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Pr="00DC66DA">
        <w:rPr>
          <w:bCs/>
          <w:sz w:val="24"/>
          <w:szCs w:val="24"/>
        </w:rPr>
        <w:t>ema obveza za vrijednosne papire i zajmove</w:t>
      </w:r>
      <w:r w:rsidR="0014195D">
        <w:rPr>
          <w:bCs/>
          <w:sz w:val="24"/>
          <w:szCs w:val="24"/>
        </w:rPr>
        <w:t>, a izdaci za financijsku imovinu i otplatu zajmova odnose se na pokriće minusa na žiro računu prenesenog iz 2017. godine u iznosu od 10.248 kuna.</w:t>
      </w:r>
    </w:p>
    <w:p w:rsidR="001A0278" w:rsidRPr="00DC66DA" w:rsidRDefault="001A0278" w:rsidP="006E371D">
      <w:pPr>
        <w:ind w:left="720"/>
        <w:jc w:val="both"/>
        <w:rPr>
          <w:bCs/>
          <w:sz w:val="24"/>
          <w:szCs w:val="24"/>
        </w:rPr>
      </w:pPr>
    </w:p>
    <w:p w:rsidR="00372D1F" w:rsidRPr="00E1518D" w:rsidRDefault="00372D1F" w:rsidP="006E371D">
      <w:pPr>
        <w:pStyle w:val="Odlomakpopisa"/>
        <w:ind w:left="360"/>
        <w:jc w:val="both"/>
        <w:rPr>
          <w:rFonts w:asciiTheme="majorHAnsi" w:hAnsiTheme="majorHAnsi"/>
          <w:sz w:val="24"/>
          <w:szCs w:val="24"/>
        </w:rPr>
      </w:pPr>
    </w:p>
    <w:p w:rsidR="00372D1F" w:rsidRPr="00E1518D" w:rsidRDefault="00372D1F" w:rsidP="00E1518D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8427FA" w:rsidRPr="001A0278" w:rsidRDefault="008427FA" w:rsidP="00E1518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b/>
          <w:sz w:val="28"/>
          <w:szCs w:val="28"/>
        </w:rPr>
      </w:pPr>
      <w:r w:rsidRPr="001A0278">
        <w:rPr>
          <w:rFonts w:asciiTheme="majorHAnsi" w:hAnsiTheme="majorHAnsi"/>
          <w:b/>
          <w:sz w:val="28"/>
          <w:szCs w:val="28"/>
        </w:rPr>
        <w:t>Izvještaj o korištenju proračunske zalihe</w:t>
      </w:r>
    </w:p>
    <w:p w:rsidR="008427FA" w:rsidRPr="00E1518D" w:rsidRDefault="008427FA" w:rsidP="00E1518D">
      <w:pPr>
        <w:pStyle w:val="Odlomakpopisa"/>
        <w:ind w:left="360"/>
        <w:jc w:val="both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 xml:space="preserve">       Proračunska zaliha nije korištena</w:t>
      </w:r>
    </w:p>
    <w:p w:rsidR="008427FA" w:rsidRDefault="008427FA" w:rsidP="00E1518D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1A0278" w:rsidRPr="001A0278" w:rsidRDefault="001A0278" w:rsidP="00E1518D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8427FA" w:rsidRPr="001A0278" w:rsidRDefault="008427FA" w:rsidP="00C94EF9">
      <w:pPr>
        <w:pStyle w:val="Odlomakpopisa"/>
        <w:numPr>
          <w:ilvl w:val="0"/>
          <w:numId w:val="3"/>
        </w:numPr>
        <w:ind w:left="0" w:firstLine="0"/>
        <w:jc w:val="both"/>
        <w:rPr>
          <w:rFonts w:asciiTheme="majorHAnsi" w:hAnsiTheme="majorHAnsi"/>
          <w:b/>
          <w:sz w:val="28"/>
          <w:szCs w:val="28"/>
        </w:rPr>
      </w:pPr>
      <w:r w:rsidRPr="001A0278">
        <w:rPr>
          <w:rFonts w:asciiTheme="majorHAnsi" w:hAnsiTheme="majorHAnsi"/>
          <w:b/>
          <w:sz w:val="28"/>
          <w:szCs w:val="28"/>
        </w:rPr>
        <w:t>Izvještaj o danim jamstvima i izdacima  po jamstvima</w:t>
      </w:r>
    </w:p>
    <w:p w:rsidR="008427FA" w:rsidRPr="00E1518D" w:rsidRDefault="008427FA" w:rsidP="00E1518D">
      <w:pPr>
        <w:pStyle w:val="Odlomakpopisa"/>
        <w:ind w:left="0"/>
        <w:jc w:val="both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 xml:space="preserve">            </w:t>
      </w:r>
      <w:r w:rsidR="00E24B83" w:rsidRPr="00E1518D">
        <w:rPr>
          <w:rFonts w:asciiTheme="majorHAnsi" w:hAnsiTheme="majorHAnsi"/>
          <w:sz w:val="24"/>
          <w:szCs w:val="24"/>
        </w:rPr>
        <w:t xml:space="preserve">Općina </w:t>
      </w:r>
      <w:proofErr w:type="spellStart"/>
      <w:r w:rsidR="00E24B83" w:rsidRPr="00E1518D">
        <w:rPr>
          <w:rFonts w:asciiTheme="majorHAnsi" w:hAnsiTheme="majorHAnsi"/>
          <w:sz w:val="24"/>
          <w:szCs w:val="24"/>
        </w:rPr>
        <w:t>Lišane</w:t>
      </w:r>
      <w:proofErr w:type="spellEnd"/>
      <w:r w:rsidR="00E24B83" w:rsidRPr="00E151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24B83" w:rsidRPr="00E1518D">
        <w:rPr>
          <w:rFonts w:asciiTheme="majorHAnsi" w:hAnsiTheme="majorHAnsi"/>
          <w:sz w:val="24"/>
          <w:szCs w:val="24"/>
        </w:rPr>
        <w:t>Ostrovičke</w:t>
      </w:r>
      <w:proofErr w:type="spellEnd"/>
      <w:r w:rsidR="0014195D">
        <w:rPr>
          <w:rFonts w:asciiTheme="majorHAnsi" w:hAnsiTheme="majorHAnsi"/>
          <w:sz w:val="24"/>
          <w:szCs w:val="24"/>
        </w:rPr>
        <w:t xml:space="preserve">  u 2018</w:t>
      </w:r>
      <w:r w:rsidRPr="00E1518D">
        <w:rPr>
          <w:rFonts w:asciiTheme="majorHAnsi" w:hAnsiTheme="majorHAnsi"/>
          <w:sz w:val="24"/>
          <w:szCs w:val="24"/>
        </w:rPr>
        <w:t xml:space="preserve">. godini nije imala danih jamstava, kao ni izdataka   </w:t>
      </w:r>
    </w:p>
    <w:p w:rsidR="008427FA" w:rsidRPr="00E1518D" w:rsidRDefault="008427FA" w:rsidP="00E1518D">
      <w:pPr>
        <w:pStyle w:val="Odlomakpopisa"/>
        <w:ind w:left="0"/>
        <w:jc w:val="both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 xml:space="preserve">             po jamstvima.  </w:t>
      </w:r>
    </w:p>
    <w:p w:rsidR="008427FA" w:rsidRPr="00E1518D" w:rsidRDefault="008427FA" w:rsidP="00E1518D">
      <w:pPr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8427FA" w:rsidRPr="001A0278" w:rsidRDefault="00FB5239" w:rsidP="00C94EF9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1A0278">
        <w:rPr>
          <w:rFonts w:ascii="Cambria" w:hAnsi="Cambria" w:cs="Calibri,Bold"/>
          <w:b/>
          <w:bCs/>
          <w:color w:val="000000" w:themeColor="text1"/>
          <w:sz w:val="28"/>
          <w:szCs w:val="28"/>
          <w:lang w:eastAsia="hr-HR"/>
        </w:rPr>
        <w:t>Obrazloženje ostvarenja prihoda i primitaka, rashoda i izdataka</w:t>
      </w:r>
    </w:p>
    <w:p w:rsidR="001A0278" w:rsidRPr="001A0278" w:rsidRDefault="001A0278" w:rsidP="001A0278">
      <w:pPr>
        <w:pStyle w:val="Odlomakpopisa"/>
        <w:spacing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3642D2" w:rsidRDefault="003642D2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Ukupno os</w:t>
      </w:r>
      <w:r w:rsidR="0014195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tvareni prihodi i primici u 2018</w:t>
      </w: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godini iznose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3.</w:t>
      </w:r>
      <w:r w:rsidR="0014195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006.216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, dok rashodi i izdaci iznose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14195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3.605.859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</w:t>
      </w: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. Ostvaren je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manjak u iznosu od </w:t>
      </w:r>
      <w:r w:rsidR="0014195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-596.043</w:t>
      </w:r>
      <w:r w:rsidR="00583BA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što s prenesenim manjkom  iz prethodne godine </w:t>
      </w:r>
      <w:r w:rsidR="0014195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–528.472</w:t>
      </w:r>
      <w:r w:rsidR="00583BA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čini manjak prihoda za pokriće i sljedećem razdoblju u iznosu od </w:t>
      </w:r>
      <w:r w:rsidR="0014195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–1.124.515 </w:t>
      </w:r>
      <w:r w:rsidR="00583BA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4195D" w:rsidRDefault="0014195D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Pr="001A0278" w:rsidRDefault="001A0278" w:rsidP="001A0278">
      <w:pPr>
        <w:pStyle w:val="Odlomakpopisa"/>
        <w:jc w:val="both"/>
        <w:rPr>
          <w:rFonts w:ascii="Cambria" w:hAnsi="Cambria"/>
          <w:color w:val="000000" w:themeColor="text1"/>
          <w:sz w:val="24"/>
          <w:szCs w:val="24"/>
          <w:u w:val="single"/>
        </w:rPr>
      </w:pPr>
      <w:r w:rsidRPr="001A0278">
        <w:rPr>
          <w:rFonts w:ascii="Cambria" w:hAnsi="Cambria" w:cs="Calibri,Bold"/>
          <w:b/>
          <w:bCs/>
          <w:color w:val="000000" w:themeColor="text1"/>
          <w:sz w:val="24"/>
          <w:szCs w:val="24"/>
          <w:u w:val="single"/>
          <w:lang w:eastAsia="hr-HR"/>
        </w:rPr>
        <w:lastRenderedPageBreak/>
        <w:t>PRIHODI</w:t>
      </w:r>
    </w:p>
    <w:p w:rsidR="00583BA9" w:rsidRDefault="00583BA9" w:rsidP="00C0537C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Porez na dohodak od nesamostalnog rada ostvaren je u iznosu od</w:t>
      </w:r>
      <w:r w:rsidR="00C053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1.124.515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kuna, </w:t>
      </w:r>
      <w:r w:rsidR="00C053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od čega je prihod od poreza za fiskalno izravnanje u iznosu od 1.060.068 kuna.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EB339B" w:rsidRDefault="00EB339B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Tekuće pomoći iz proračuna iznose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274.541</w:t>
      </w:r>
      <w:r w:rsidR="00C053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kuna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a odnose se na dotacije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iz državnog proračuna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 iznosu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34.950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kompenzacijske mjere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u iznosu od 189.591 kunu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i tekuće pomoći Zadarske županije u iznosu od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50.000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EB339B" w:rsidRDefault="00EB339B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Kapitalne pomoći odnose na pomoći Ministarstva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za demografiju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67.562 kn,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Ministarstva regionalnog razvoja i fondova EU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646.000 kn.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EB339B" w:rsidRDefault="00EB339B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Tekuće pomoći od izvanproračunskih korisnika ostvarene su u iznosu od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24.189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 a odnose se na sufinanciranje Hrvatskog zavoda za zapošljavanje  za program javnih radova.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C112C7" w:rsidRDefault="00C112C7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Prihodi po posebnim propisima iznose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384.180 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 i odnose se na vodni doprinos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1.618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sufinanciranje roditelja za dječju igraonicu 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59.380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sufinanciranje Grada Benkovca za dječju igraonicu (za djecu sa područja Grada) 12.000 kn,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sufinanciranje katastarske izmjere 307.000 kn,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prihodi od vode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4180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C112C7" w:rsidRDefault="00C112C7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Komunalni doprinosi i naknade iznose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85.245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odnose se na komunalni doprinos u iznosu od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5.665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</w:t>
      </w:r>
      <w:r w:rsidR="00F36BB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komunalnu naknadu od  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52.785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grobna naknada 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26.795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 </w:t>
      </w:r>
    </w:p>
    <w:p w:rsidR="001A0278" w:rsidRDefault="00323486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Prihodi od prodaje proizvodne dugotrajne imovine  iznose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3.600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kn, a odnose se na grobno mjesto.</w:t>
      </w:r>
    </w:p>
    <w:p w:rsidR="000462B5" w:rsidRDefault="000462B5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Default="001A0278" w:rsidP="003642D2">
      <w:pPr>
        <w:pStyle w:val="Odlomakpopisa"/>
        <w:jc w:val="both"/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/>
          <w:bCs/>
          <w:color w:val="000000" w:themeColor="text1"/>
          <w:sz w:val="24"/>
          <w:szCs w:val="24"/>
          <w:lang w:eastAsia="hr-HR"/>
        </w:rPr>
        <w:t>RASHODI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Ukupni rashodi  i izdaci proračuna planirani su 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7.595.611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a ostvareni 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3.595.611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 ili 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50,45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%. </w:t>
      </w:r>
    </w:p>
    <w:p w:rsidR="00C94EF9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 w:rsidRPr="00B0311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Manji postotak ostvarenja je kod rashod</w:t>
      </w:r>
      <w:r w:rsidR="00B03115" w:rsidRPr="00B0311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a </w:t>
      </w:r>
      <w:r w:rsidRPr="00B0311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za nabavu nefinancijske imovine iz razloga što </w:t>
      </w:r>
      <w:r w:rsidR="00B03115" w:rsidRPr="00B0311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planirani proj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ekti  (projekt lokalni vodovod </w:t>
      </w:r>
      <w:proofErr w:type="spellStart"/>
      <w:r w:rsidR="00B03115" w:rsidRPr="00B0311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Ostrovica</w:t>
      </w:r>
      <w:proofErr w:type="spellEnd"/>
      <w:r w:rsidR="00B03115" w:rsidRPr="00B0311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 projekt za n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erazvrstane ceste, uvođenje besplatnog wifi4eu interneta</w:t>
      </w:r>
      <w:r w:rsidR="00B03115" w:rsidRPr="00B0311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) </w:t>
      </w:r>
      <w:r w:rsidR="00B0311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nisu mogli biti realizirani do kraja godine. </w:t>
      </w:r>
    </w:p>
    <w:p w:rsidR="00C94EF9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Rashodi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poslovanja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odnose se na rashode za zaposlene,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materijalne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rashode, financijske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rashode, subvencije,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naknade građanima i kućanstvima i planirani su 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3.237.100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a ostvareni </w:t>
      </w:r>
      <w:r w:rsidR="008314A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2.382.447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.</w:t>
      </w:r>
    </w:p>
    <w:p w:rsidR="0087773F" w:rsidRDefault="00C94EF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Rashodi za zaposlene iznose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649.827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kn,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550.695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bruto plaće i doprinosi na plaću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90.382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 a odnose se na dvije plaće dužnosnika, tri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službenika,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dva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odgojitelj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a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jedan komunalni djelatnik i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tri 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radnika na javnim radovima.</w:t>
      </w:r>
    </w:p>
    <w:p w:rsidR="000462B5" w:rsidRDefault="000462B5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8008C0" w:rsidRDefault="0087773F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M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aterijalni rashodi iznose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246.844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najveći dio se odnosi na el. energiju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181.835 kn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rashodi za usluge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1.175.254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od čega usluge tekućeg održavanja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78.164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(ceste, javna rasvjeta, kapelica i javne površine),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katastarska izmjera 983.776 kn.</w:t>
      </w:r>
    </w:p>
    <w:p w:rsidR="000462B5" w:rsidRDefault="000462B5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D1462A" w:rsidRDefault="00D1462A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lastRenderedPageBreak/>
        <w:t xml:space="preserve">Naknade građanima i kućanstvima iznose </w:t>
      </w:r>
      <w:r w:rsidR="008008C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40.942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kune i odnose se na naknade za </w:t>
      </w: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novorođeno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dijete i knjige za prvi razred i novčane naknade za studente.</w:t>
      </w: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Tekuće donacije su ostvarene u iznosu od 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120.386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 i odnose se na donacije BK </w:t>
      </w:r>
      <w:proofErr w:type="spellStart"/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Lišane</w:t>
      </w:r>
      <w:proofErr w:type="spellEnd"/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14.375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MNK </w:t>
      </w:r>
      <w:proofErr w:type="spellStart"/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Lišane</w:t>
      </w:r>
      <w:proofErr w:type="spellEnd"/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 2.000, KUD Sv. Nikola Tavelić 15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.000 kn , Župa Sv. Mihovil 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13.875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DVD </w:t>
      </w:r>
      <w:proofErr w:type="spellStart"/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Lišane</w:t>
      </w:r>
      <w:proofErr w:type="spellEnd"/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60.000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tekuće donacije udrugama stradalnika Domovinskog rat,a 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5.437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kn. </w:t>
      </w: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Rashodi za nabavu nefinancijske imovine  iznose </w:t>
      </w:r>
      <w:r w:rsidR="00951D4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1.213.164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odnose se na </w:t>
      </w:r>
      <w:r w:rsidR="005752C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uređenje  općinske zgrade na katu i prizemlju 805.424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</w:t>
      </w:r>
      <w:r w:rsidR="005752C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dodatna ulaganja na zgradi vrtića 126.633 kn</w:t>
      </w:r>
      <w:r w:rsidR="006F170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</w:t>
      </w:r>
      <w:r w:rsidR="005752C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 klime za vrtić</w:t>
      </w:r>
      <w:r w:rsidR="006F170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5752CD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50.063 kn, oprema za kuhinju u vrtiću 76.570 kn, uređenje spomenika žrtvama rata 18.986</w:t>
      </w:r>
      <w:r w:rsidR="00FB2177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i nabava pocinčanih kontejnera 11.250 kn.</w:t>
      </w:r>
    </w:p>
    <w:p w:rsidR="006F170C" w:rsidRDefault="006F170C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Rashodi za nematerijalnu imovinu ostvareni su u iznosu </w:t>
      </w:r>
      <w:r w:rsidR="00FB2177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241.207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odnose se na </w:t>
      </w:r>
      <w:r w:rsidR="00FB2177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program raspolaganja poljoprivrednim ze</w:t>
      </w:r>
      <w:r w:rsidR="00FA1A3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mljištem 30.000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</w:t>
      </w:r>
      <w:r w:rsidR="00FA1A38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projekt dodatna ulaganja na općinskoj zgradi 15.625 kn, UPU poslovna zona 95.375 kn, projektna dokumentacija za nerazvrstane ceste 78.750 kn  i usklađenje glavnog i izvedbenog projekta za lokalni vodovod 10.000 kn.</w:t>
      </w:r>
    </w:p>
    <w:p w:rsidR="000F33E1" w:rsidRDefault="000F33E1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0F33E1" w:rsidRPr="00427C6E" w:rsidRDefault="000F33E1" w:rsidP="000F33E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 w:cs="Calibri,Bold"/>
          <w:bCs/>
          <w:color w:val="000000" w:themeColor="text1"/>
          <w:sz w:val="28"/>
          <w:szCs w:val="28"/>
          <w:lang w:eastAsia="hr-HR"/>
        </w:rPr>
      </w:pPr>
      <w:r w:rsidRPr="00427C6E">
        <w:rPr>
          <w:rFonts w:ascii="Cambria" w:hAnsi="Cambria" w:cs="Calibri,Bold"/>
          <w:b/>
          <w:bCs/>
          <w:color w:val="000000" w:themeColor="text1"/>
          <w:sz w:val="28"/>
          <w:szCs w:val="28"/>
          <w:lang w:eastAsia="hr-HR"/>
        </w:rPr>
        <w:t>Obveze i potraživanja</w:t>
      </w:r>
    </w:p>
    <w:p w:rsidR="000F33E1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Ukupne obveze  31</w:t>
      </w:r>
      <w:r w:rsidR="0024462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.12.2018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godine iznose: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24462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1.716.739</w:t>
      </w:r>
    </w:p>
    <w:p w:rsidR="000F33E1" w:rsidRDefault="00427C6E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Ukupna potraživanja 31.12.2018</w:t>
      </w:r>
      <w:r w:rsidR="000F33E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godine iznose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; </w:t>
      </w:r>
      <w:r w:rsidR="0024462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265.345</w:t>
      </w:r>
    </w:p>
    <w:p w:rsidR="000F33E1" w:rsidRPr="000F33E1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Stanje ž</w:t>
      </w:r>
      <w:r w:rsidR="0024462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iro računa i blagajne 31.12.2018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godine iznosi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: </w:t>
      </w:r>
      <w:r w:rsidR="0024462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511.142</w:t>
      </w:r>
    </w:p>
    <w:p w:rsidR="006F170C" w:rsidRDefault="006F170C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C94EF9" w:rsidRDefault="00C94EF9" w:rsidP="00C94EF9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C94EF9" w:rsidRPr="001A0278" w:rsidRDefault="00C94EF9" w:rsidP="00C94EF9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583BA9" w:rsidRPr="00FA1A38" w:rsidRDefault="00C94EF9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8427FA" w:rsidRPr="00E1518D" w:rsidRDefault="008427FA" w:rsidP="00E1518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 xml:space="preserve">Deficit – suficit općeg  proračuna </w:t>
      </w:r>
    </w:p>
    <w:p w:rsidR="00086A38" w:rsidRPr="00E1518D" w:rsidRDefault="00086A38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7964B4" w:rsidRPr="00E1518D" w:rsidRDefault="00012A4A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kraju 201</w:t>
      </w:r>
      <w:r w:rsidR="00244622">
        <w:rPr>
          <w:rFonts w:asciiTheme="majorHAnsi" w:hAnsiTheme="majorHAnsi"/>
          <w:sz w:val="24"/>
          <w:szCs w:val="24"/>
        </w:rPr>
        <w:t>8</w:t>
      </w:r>
      <w:r w:rsidR="007964B4" w:rsidRPr="00E1518D">
        <w:rPr>
          <w:rFonts w:asciiTheme="majorHAnsi" w:hAnsiTheme="majorHAnsi"/>
          <w:sz w:val="24"/>
          <w:szCs w:val="24"/>
        </w:rPr>
        <w:t>. godine rezultat poslovanja je:</w:t>
      </w:r>
    </w:p>
    <w:p w:rsidR="00086A38" w:rsidRPr="00E1518D" w:rsidRDefault="00086A38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5528"/>
        <w:gridCol w:w="2092"/>
      </w:tblGrid>
      <w:tr w:rsidR="009748AC" w:rsidRPr="00E1518D" w:rsidTr="009748AC">
        <w:tc>
          <w:tcPr>
            <w:tcW w:w="948" w:type="dxa"/>
          </w:tcPr>
          <w:p w:rsidR="007964B4" w:rsidRPr="00E1518D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964B4" w:rsidRPr="00E1518D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 xml:space="preserve">Preneseni </w:t>
            </w:r>
            <w:r w:rsidR="004A2472">
              <w:rPr>
                <w:rFonts w:asciiTheme="majorHAnsi" w:hAnsiTheme="majorHAnsi"/>
                <w:sz w:val="24"/>
                <w:szCs w:val="24"/>
              </w:rPr>
              <w:t>manjak</w:t>
            </w:r>
            <w:r w:rsidR="00244622">
              <w:rPr>
                <w:rFonts w:asciiTheme="majorHAnsi" w:hAnsiTheme="majorHAnsi"/>
                <w:sz w:val="24"/>
                <w:szCs w:val="24"/>
              </w:rPr>
              <w:t xml:space="preserve"> iz 2017</w:t>
            </w:r>
            <w:r w:rsidRPr="00E1518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086A38" w:rsidRPr="00E1518D">
              <w:rPr>
                <w:rFonts w:asciiTheme="majorHAnsi" w:hAnsiTheme="majorHAnsi"/>
                <w:sz w:val="24"/>
                <w:szCs w:val="24"/>
              </w:rPr>
              <w:t>g</w:t>
            </w:r>
            <w:r w:rsidRPr="00E1518D">
              <w:rPr>
                <w:rFonts w:asciiTheme="majorHAnsi" w:hAnsiTheme="majorHAnsi"/>
                <w:sz w:val="24"/>
                <w:szCs w:val="24"/>
              </w:rPr>
              <w:t>odine</w:t>
            </w:r>
          </w:p>
        </w:tc>
        <w:tc>
          <w:tcPr>
            <w:tcW w:w="2092" w:type="dxa"/>
          </w:tcPr>
          <w:p w:rsidR="007964B4" w:rsidRPr="00E1518D" w:rsidRDefault="003642D2" w:rsidP="00244622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244622">
              <w:rPr>
                <w:rFonts w:asciiTheme="majorHAnsi" w:hAnsiTheme="majorHAnsi"/>
                <w:sz w:val="24"/>
                <w:szCs w:val="24"/>
              </w:rPr>
              <w:t>-528.47</w:t>
            </w:r>
            <w:r w:rsidR="00427C6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A31827" w:rsidRPr="00E1518D" w:rsidTr="009748AC">
        <w:tc>
          <w:tcPr>
            <w:tcW w:w="94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A31827" w:rsidRPr="00E1518D" w:rsidRDefault="004A2472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Višak </w:t>
            </w:r>
            <w:r w:rsidR="00A31827" w:rsidRPr="00E1518D">
              <w:rPr>
                <w:rFonts w:asciiTheme="majorHAnsi" w:hAnsiTheme="majorHAnsi"/>
                <w:sz w:val="24"/>
                <w:szCs w:val="24"/>
              </w:rPr>
              <w:t>prihoda poslovanja</w:t>
            </w:r>
          </w:p>
        </w:tc>
        <w:tc>
          <w:tcPr>
            <w:tcW w:w="2092" w:type="dxa"/>
          </w:tcPr>
          <w:p w:rsidR="00A31827" w:rsidRPr="00E1518D" w:rsidRDefault="00427C6E" w:rsidP="00E1518D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623.769</w:t>
            </w:r>
          </w:p>
        </w:tc>
      </w:tr>
      <w:tr w:rsidR="00A31827" w:rsidRPr="00E1518D" w:rsidTr="009748AC">
        <w:tc>
          <w:tcPr>
            <w:tcW w:w="94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Manjak prihoda od nefinancijske imovine</w:t>
            </w:r>
          </w:p>
        </w:tc>
        <w:tc>
          <w:tcPr>
            <w:tcW w:w="2092" w:type="dxa"/>
          </w:tcPr>
          <w:p w:rsidR="00A31827" w:rsidRPr="00E1518D" w:rsidRDefault="00427C6E" w:rsidP="00E1518D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-1.209.564</w:t>
            </w:r>
          </w:p>
        </w:tc>
      </w:tr>
      <w:tr w:rsidR="00514981" w:rsidRPr="00E1518D" w:rsidTr="009748AC">
        <w:tc>
          <w:tcPr>
            <w:tcW w:w="948" w:type="dxa"/>
          </w:tcPr>
          <w:p w:rsidR="00514981" w:rsidRPr="00E1518D" w:rsidRDefault="00514981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514981" w:rsidRPr="00E1518D" w:rsidRDefault="00514981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Višak primitaka od financijske imovine</w:t>
            </w:r>
          </w:p>
        </w:tc>
        <w:tc>
          <w:tcPr>
            <w:tcW w:w="2092" w:type="dxa"/>
          </w:tcPr>
          <w:p w:rsidR="00514981" w:rsidRPr="00E1518D" w:rsidRDefault="00427C6E" w:rsidP="00E1518D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514981">
              <w:rPr>
                <w:rFonts w:asciiTheme="majorHAnsi" w:hAnsiTheme="majorHAnsi"/>
                <w:sz w:val="24"/>
                <w:szCs w:val="24"/>
              </w:rPr>
              <w:t>10.248</w:t>
            </w:r>
          </w:p>
        </w:tc>
      </w:tr>
      <w:tr w:rsidR="00A31827" w:rsidRPr="00E1518D" w:rsidTr="009748AC">
        <w:tc>
          <w:tcPr>
            <w:tcW w:w="94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A31827" w:rsidRPr="00E1518D" w:rsidRDefault="00086A38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 xml:space="preserve">Ukupni </w:t>
            </w:r>
            <w:r w:rsidR="0087690E" w:rsidRPr="00E1518D">
              <w:rPr>
                <w:rFonts w:asciiTheme="majorHAnsi" w:hAnsiTheme="majorHAnsi"/>
                <w:sz w:val="24"/>
                <w:szCs w:val="24"/>
              </w:rPr>
              <w:t xml:space="preserve"> manjak </w:t>
            </w:r>
          </w:p>
        </w:tc>
        <w:tc>
          <w:tcPr>
            <w:tcW w:w="2092" w:type="dxa"/>
          </w:tcPr>
          <w:p w:rsidR="00A31827" w:rsidRPr="00E1518D" w:rsidRDefault="00514981" w:rsidP="00427C6E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427C6E">
              <w:rPr>
                <w:rFonts w:asciiTheme="majorHAnsi" w:hAnsiTheme="majorHAnsi"/>
                <w:sz w:val="24"/>
                <w:szCs w:val="24"/>
              </w:rPr>
              <w:t>1.124.516</w:t>
            </w:r>
          </w:p>
        </w:tc>
      </w:tr>
    </w:tbl>
    <w:p w:rsidR="007964B4" w:rsidRPr="00E1518D" w:rsidRDefault="007964B4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086A38" w:rsidRPr="00E1518D" w:rsidRDefault="00086A38" w:rsidP="00E1518D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>ZAKONSKI PREDSTAVNIK</w:t>
      </w:r>
    </w:p>
    <w:p w:rsidR="008427FA" w:rsidRPr="00E1518D" w:rsidRDefault="008427FA" w:rsidP="00D1157F">
      <w:pPr>
        <w:rPr>
          <w:rFonts w:asciiTheme="majorHAnsi" w:hAnsiTheme="majorHAnsi"/>
          <w:b/>
          <w:sz w:val="24"/>
          <w:szCs w:val="24"/>
        </w:rPr>
      </w:pPr>
    </w:p>
    <w:p w:rsidR="008427FA" w:rsidRPr="00FD2BE9" w:rsidRDefault="008427FA" w:rsidP="004748E9">
      <w:pPr>
        <w:outlineLvl w:val="0"/>
        <w:rPr>
          <w:rFonts w:ascii="Times New Roman" w:hAnsi="Times New Roman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  <w:t xml:space="preserve">Ivica  </w:t>
      </w:r>
      <w:proofErr w:type="spellStart"/>
      <w:r w:rsidRPr="00E1518D">
        <w:rPr>
          <w:rFonts w:asciiTheme="majorHAnsi" w:hAnsiTheme="majorHAnsi"/>
          <w:b/>
          <w:sz w:val="24"/>
          <w:szCs w:val="24"/>
        </w:rPr>
        <w:t>Musić</w:t>
      </w:r>
      <w:proofErr w:type="spellEnd"/>
      <w:r w:rsidRPr="00E1518D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E1518D">
        <w:rPr>
          <w:rFonts w:asciiTheme="majorHAnsi" w:hAnsiTheme="majorHAnsi"/>
          <w:b/>
          <w:sz w:val="24"/>
          <w:szCs w:val="24"/>
        </w:rPr>
        <w:t>dipl.ing</w:t>
      </w:r>
      <w:proofErr w:type="spellEnd"/>
      <w:r w:rsidRPr="00E1518D">
        <w:rPr>
          <w:rFonts w:asciiTheme="majorHAnsi" w:hAnsiTheme="majorHAnsi"/>
          <w:b/>
          <w:sz w:val="24"/>
          <w:szCs w:val="24"/>
        </w:rPr>
        <w:t>.</w:t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</w:p>
    <w:sectPr w:rsidR="008427FA" w:rsidRPr="00FD2BE9" w:rsidSect="00C94EF9">
      <w:footerReference w:type="default" r:id="rId9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94" w:rsidRDefault="00AF4594" w:rsidP="001A0278">
      <w:pPr>
        <w:spacing w:line="240" w:lineRule="auto"/>
      </w:pPr>
      <w:r>
        <w:separator/>
      </w:r>
    </w:p>
  </w:endnote>
  <w:endnote w:type="continuationSeparator" w:id="0">
    <w:p w:rsidR="00AF4594" w:rsidRDefault="00AF4594" w:rsidP="001A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78" w:rsidRDefault="00F766D6">
    <w:pPr>
      <w:pStyle w:val="Podnoje"/>
    </w:pPr>
    <w:r w:rsidRPr="00F766D6">
      <w:rPr>
        <w:rFonts w:asciiTheme="majorHAnsi" w:hAnsiTheme="majorHAnsi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2529" type="#_x0000_t176" style="position:absolute;margin-left:546.75pt;margin-top:789.05pt;width:40.35pt;height:34.75pt;rotation:360;z-index:1;mso-position-horizontal-relative:page;mso-position-vertical-relative:page" filled="f" fillcolor="#4f81bd" stroked="f" strokecolor="#737373">
          <v:fill color2="#a7bfde" type="pattern"/>
          <v:textbox>
            <w:txbxContent>
              <w:p w:rsidR="001A0278" w:rsidRDefault="00F766D6" w:rsidP="001A0278">
                <w:pPr>
                  <w:pStyle w:val="Podnoj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="00427C6E" w:rsidRPr="00427C6E">
                    <w:rPr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94" w:rsidRDefault="00AF4594" w:rsidP="001A0278">
      <w:pPr>
        <w:spacing w:line="240" w:lineRule="auto"/>
      </w:pPr>
      <w:r>
        <w:separator/>
      </w:r>
    </w:p>
  </w:footnote>
  <w:footnote w:type="continuationSeparator" w:id="0">
    <w:p w:rsidR="00AF4594" w:rsidRDefault="00AF4594" w:rsidP="001A02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6C7876"/>
    <w:multiLevelType w:val="hybridMultilevel"/>
    <w:tmpl w:val="47A0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5249C"/>
    <w:multiLevelType w:val="multilevel"/>
    <w:tmpl w:val="B498C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1746"/>
    <o:shapelayout v:ext="edit">
      <o:idmap v:ext="edit" data="22"/>
      <o:rules v:ext="edit">
        <o:r id="V:Rule1" type="callout" idref="#_x0000_s2252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57F"/>
    <w:rsid w:val="000029C0"/>
    <w:rsid w:val="00012A4A"/>
    <w:rsid w:val="0001455D"/>
    <w:rsid w:val="000462B5"/>
    <w:rsid w:val="00086A38"/>
    <w:rsid w:val="000A2814"/>
    <w:rsid w:val="000B22EE"/>
    <w:rsid w:val="000F1BDE"/>
    <w:rsid w:val="000F33E1"/>
    <w:rsid w:val="001251EF"/>
    <w:rsid w:val="0014195D"/>
    <w:rsid w:val="001A0278"/>
    <w:rsid w:val="001A4C30"/>
    <w:rsid w:val="001B6851"/>
    <w:rsid w:val="001E04D8"/>
    <w:rsid w:val="00215969"/>
    <w:rsid w:val="00244622"/>
    <w:rsid w:val="002558AF"/>
    <w:rsid w:val="002669D4"/>
    <w:rsid w:val="002832DF"/>
    <w:rsid w:val="00292617"/>
    <w:rsid w:val="002B0C53"/>
    <w:rsid w:val="00323486"/>
    <w:rsid w:val="003364B9"/>
    <w:rsid w:val="003566AA"/>
    <w:rsid w:val="003642D2"/>
    <w:rsid w:val="00372D1F"/>
    <w:rsid w:val="00391536"/>
    <w:rsid w:val="003D4C5C"/>
    <w:rsid w:val="003E1ADE"/>
    <w:rsid w:val="003E34DB"/>
    <w:rsid w:val="003F660F"/>
    <w:rsid w:val="00402DFB"/>
    <w:rsid w:val="00427C6E"/>
    <w:rsid w:val="004353AA"/>
    <w:rsid w:val="00445B70"/>
    <w:rsid w:val="00454F6D"/>
    <w:rsid w:val="00456799"/>
    <w:rsid w:val="00473A78"/>
    <w:rsid w:val="004748E9"/>
    <w:rsid w:val="004A2472"/>
    <w:rsid w:val="004A37D9"/>
    <w:rsid w:val="00514981"/>
    <w:rsid w:val="00524D7B"/>
    <w:rsid w:val="0053668B"/>
    <w:rsid w:val="005372FC"/>
    <w:rsid w:val="0054719A"/>
    <w:rsid w:val="005752CD"/>
    <w:rsid w:val="00583BA9"/>
    <w:rsid w:val="005C1726"/>
    <w:rsid w:val="005D147A"/>
    <w:rsid w:val="005F048D"/>
    <w:rsid w:val="0062624F"/>
    <w:rsid w:val="00691AB6"/>
    <w:rsid w:val="006E371D"/>
    <w:rsid w:val="006E3D70"/>
    <w:rsid w:val="006F170C"/>
    <w:rsid w:val="00723356"/>
    <w:rsid w:val="00724E6D"/>
    <w:rsid w:val="00727965"/>
    <w:rsid w:val="00770725"/>
    <w:rsid w:val="007964B4"/>
    <w:rsid w:val="007E233E"/>
    <w:rsid w:val="008008C0"/>
    <w:rsid w:val="0080174C"/>
    <w:rsid w:val="008229A2"/>
    <w:rsid w:val="008314A3"/>
    <w:rsid w:val="008427FA"/>
    <w:rsid w:val="00851358"/>
    <w:rsid w:val="008567B6"/>
    <w:rsid w:val="00862E75"/>
    <w:rsid w:val="00865A38"/>
    <w:rsid w:val="00872F58"/>
    <w:rsid w:val="0087690E"/>
    <w:rsid w:val="0087773F"/>
    <w:rsid w:val="00880819"/>
    <w:rsid w:val="0089061C"/>
    <w:rsid w:val="009071BA"/>
    <w:rsid w:val="00916C92"/>
    <w:rsid w:val="00924C85"/>
    <w:rsid w:val="009365D8"/>
    <w:rsid w:val="00951D41"/>
    <w:rsid w:val="00972E2D"/>
    <w:rsid w:val="009748AC"/>
    <w:rsid w:val="009B58C5"/>
    <w:rsid w:val="009F2D03"/>
    <w:rsid w:val="00A1202D"/>
    <w:rsid w:val="00A31827"/>
    <w:rsid w:val="00AF4594"/>
    <w:rsid w:val="00B03115"/>
    <w:rsid w:val="00B409CE"/>
    <w:rsid w:val="00B754B6"/>
    <w:rsid w:val="00BB5272"/>
    <w:rsid w:val="00BC7877"/>
    <w:rsid w:val="00BD16E7"/>
    <w:rsid w:val="00BE32B5"/>
    <w:rsid w:val="00C0537C"/>
    <w:rsid w:val="00C112C7"/>
    <w:rsid w:val="00C37350"/>
    <w:rsid w:val="00C41C40"/>
    <w:rsid w:val="00C56D25"/>
    <w:rsid w:val="00C94EF9"/>
    <w:rsid w:val="00CA0C12"/>
    <w:rsid w:val="00D0770E"/>
    <w:rsid w:val="00D1157F"/>
    <w:rsid w:val="00D1462A"/>
    <w:rsid w:val="00D303AA"/>
    <w:rsid w:val="00D4119F"/>
    <w:rsid w:val="00D828D9"/>
    <w:rsid w:val="00DB5B0B"/>
    <w:rsid w:val="00E1518D"/>
    <w:rsid w:val="00E24B83"/>
    <w:rsid w:val="00E274D9"/>
    <w:rsid w:val="00E57A58"/>
    <w:rsid w:val="00E65478"/>
    <w:rsid w:val="00EB339B"/>
    <w:rsid w:val="00ED7AE1"/>
    <w:rsid w:val="00EF1D70"/>
    <w:rsid w:val="00F36BB8"/>
    <w:rsid w:val="00F455C5"/>
    <w:rsid w:val="00F47C43"/>
    <w:rsid w:val="00F72A6E"/>
    <w:rsid w:val="00F766D6"/>
    <w:rsid w:val="00FA1A38"/>
    <w:rsid w:val="00FA681D"/>
    <w:rsid w:val="00FB0B1A"/>
    <w:rsid w:val="00FB2177"/>
    <w:rsid w:val="00FB5239"/>
    <w:rsid w:val="00FD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7F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1157F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4748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CF170E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locked/>
    <w:rsid w:val="00796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1A02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27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02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2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Opcína</cp:lastModifiedBy>
  <cp:revision>51</cp:revision>
  <cp:lastPrinted>2015-03-25T07:57:00Z</cp:lastPrinted>
  <dcterms:created xsi:type="dcterms:W3CDTF">2014-04-30T11:44:00Z</dcterms:created>
  <dcterms:modified xsi:type="dcterms:W3CDTF">2019-04-24T08:58:00Z</dcterms:modified>
</cp:coreProperties>
</file>